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rFonts w:ascii="Times New Roman" w:cs="Times New Roman" w:eastAsia="Times New Roman" w:hAnsi="Times New Roman"/>
          <w:sz w:val="26"/>
          <w:szCs w:val="26"/>
        </w:rPr>
        <w:t xml:space="preserve">VIỆN KIỂM SÁT NHÂN DÂN THÀNH PHỐ HỒ CHÍ MINH</w:t>
      </w:r>
    </w:p>
    <w:p>
      <w:pPr>
        <w:spacing w:after="400"/>
        <w:jc w:val="center"/>
      </w:pPr>
      <w:r>
        <w:rPr>
          <w:rFonts w:ascii="Times New Roman" w:cs="Times New Roman" w:eastAsia="Times New Roman" w:hAnsi="Times New Roman"/>
          <w:b/>
          <w:bCs/>
          <w:sz w:val="24"/>
          <w:szCs w:val="24"/>
        </w:rPr>
        <w:t xml:space="preserve">VIỆN KIỂM SÁT NHÂN DÂN KHU VỰC 9</w:t>
      </w:r>
    </w:p>
    <w:p>
      <w:pPr>
        <w:spacing w:after="80"/>
        <w:jc w:val="center"/>
      </w:pPr>
      <w:r>
        <w:rPr>
          <w:rFonts w:ascii="Times New Roman" w:cs="Times New Roman" w:eastAsia="Times New Roman" w:hAnsi="Times New Roman"/>
          <w:b/>
          <w:bCs/>
          <w:sz w:val="32"/>
          <w:szCs w:val="32"/>
        </w:rPr>
        <w:t xml:space="preserve">QUY TRÌNH GIẢI QUYẾT VỤ VIỆC, VỤ ÁN DÂN SỰ CÔNG ÍCH</w:t>
      </w:r>
    </w:p>
    <w:p>
      <w:pPr>
        <w:spacing w:after="120"/>
        <w:jc w:val="center"/>
      </w:pPr>
      <w:r>
        <w:rPr>
          <w:rFonts w:ascii="Times New Roman" w:cs="Times New Roman" w:eastAsia="Times New Roman" w:hAnsi="Times New Roman"/>
          <w:b/>
          <w:bCs/>
          <w:sz w:val="26"/>
          <w:szCs w:val="26"/>
        </w:rPr>
        <w:t xml:space="preserve">TỪ TIẾP NHẬN THÔNG TIN ĐẾN KHỞI KIỆN VÀ THAM GIA PHIÊN TÒA</w:t>
      </w:r>
    </w:p>
    <w:p>
      <w:pPr>
        <w:spacing w:after="240"/>
        <w:jc w:val="center"/>
      </w:pPr>
      <w:r>
        <w:rPr>
          <w:rFonts w:ascii="Times New Roman" w:cs="Times New Roman" w:eastAsia="Times New Roman" w:hAnsi="Times New Roman"/>
          <w:i/>
          <w:iCs/>
          <w:sz w:val="24"/>
          <w:szCs w:val="24"/>
        </w:rPr>
        <w:t xml:space="preserve">Theo Nghị quyết 205/2025/QH15, Thông tư liên tịch 09/2025 và Hướng dẫn 42/HD-VKSTC</w:t>
      </w:r>
    </w:p>
    <w:p>
      <w:pPr>
        <w:pStyle w:val="Heading1"/>
        <w:spacing w:after="120" w:before="280"/>
      </w:pPr>
      <w:r>
        <w:rPr>
          <w:rFonts w:ascii="Times New Roman" w:cs="Times New Roman" w:eastAsia="Times New Roman" w:hAnsi="Times New Roman"/>
          <w:b/>
          <w:bCs/>
          <w:sz w:val="28"/>
          <w:szCs w:val="28"/>
        </w:rPr>
        <w:t xml:space="preserve">I. CĂN CỨ, PHẠM VI VÀ THẨM QUYỀN</w:t>
      </w:r>
    </w:p>
    <w:p>
      <w:pPr>
        <w:keepNext/>
        <w:spacing w:after="60" w:before="120"/>
      </w:pPr>
      <w:r>
        <w:rPr>
          <w:rFonts w:ascii="Times New Roman" w:cs="Times New Roman" w:eastAsia="Times New Roman" w:hAnsi="Times New Roman"/>
          <w:b/>
          <w:bCs/>
          <w:sz w:val="26"/>
          <w:szCs w:val="26"/>
        </w:rPr>
        <w:t xml:space="preserve">1. Căn cứ</w:t>
      </w:r>
    </w:p>
    <w:p>
      <w:pPr>
        <w:pStyle w:val="ListParagraph"/>
        <w:numPr>
          <w:ilvl w:val="0"/>
          <w:numId w:val="2"/>
        </w:numPr>
        <w:spacing w:after="40" w:line="290"/>
        <w:jc w:val="left"/>
      </w:pPr>
      <w:r>
        <w:rPr>
          <w:rFonts w:ascii="Times New Roman" w:cs="Times New Roman" w:eastAsia="Times New Roman" w:hAnsi="Times New Roman"/>
          <w:sz w:val="26"/>
          <w:szCs w:val="26"/>
        </w:rPr>
        <w:t xml:space="preserve">Nghị quyết số 205/2025/QH15 ngày 24/6/2025 của Quốc hội (viết tắt: NQ 205), hiệu lực từ 01/01/2026, thực hiện 03 năm tại 06 địa phương, trong đó có TP. Hồ Chí Minh.</w:t>
      </w:r>
    </w:p>
    <w:p>
      <w:pPr>
        <w:pStyle w:val="ListParagraph"/>
        <w:numPr>
          <w:ilvl w:val="0"/>
          <w:numId w:val="2"/>
        </w:numPr>
        <w:spacing w:after="40" w:line="290"/>
        <w:jc w:val="left"/>
      </w:pPr>
      <w:r>
        <w:rPr>
          <w:rFonts w:ascii="Times New Roman" w:cs="Times New Roman" w:eastAsia="Times New Roman" w:hAnsi="Times New Roman"/>
          <w:sz w:val="26"/>
          <w:szCs w:val="26"/>
        </w:rPr>
        <w:t xml:space="preserve">Thông tư liên tịch số 09/2025/TTLT-VKSNDTC-TANDTC-KTNN-TTCP-BCA-BTP-BTC-BCT-BXD-BYT-BNNMT-BVHTTDL-BDTTG ngày 03/11/2025 (viết tắt: TTLT 09), kèm 32 mẫu văn bản ký hiệu DSCI.</w:t>
      </w:r>
    </w:p>
    <w:p>
      <w:pPr>
        <w:pStyle w:val="ListParagraph"/>
        <w:numPr>
          <w:ilvl w:val="0"/>
          <w:numId w:val="2"/>
        </w:numPr>
        <w:spacing w:after="40" w:line="290"/>
        <w:jc w:val="left"/>
      </w:pPr>
      <w:r>
        <w:rPr>
          <w:rFonts w:ascii="Times New Roman" w:cs="Times New Roman" w:eastAsia="Times New Roman" w:hAnsi="Times New Roman"/>
          <w:sz w:val="26"/>
          <w:szCs w:val="26"/>
        </w:rPr>
        <w:t xml:space="preserve">Hướng dẫn số 42/HD-VKSTC ngày 28/11/2025 của VKSND tối cao về quy trình khởi kiện (viết tắt: HD 42), kèm 15 mẫu văn bản ký hiệu HD-DSCI.</w:t>
      </w:r>
    </w:p>
    <w:p>
      <w:pPr>
        <w:pStyle w:val="ListParagraph"/>
        <w:numPr>
          <w:ilvl w:val="0"/>
          <w:numId w:val="2"/>
        </w:numPr>
        <w:spacing w:after="40" w:line="290"/>
        <w:jc w:val="left"/>
      </w:pPr>
      <w:r>
        <w:rPr>
          <w:rFonts w:ascii="Times New Roman" w:cs="Times New Roman" w:eastAsia="Times New Roman" w:hAnsi="Times New Roman"/>
          <w:sz w:val="26"/>
          <w:szCs w:val="26"/>
        </w:rPr>
        <w:t xml:space="preserve">Những vấn đề các văn bản trên không quy định thì áp dụng Bộ luật Tố tụng dân sự và pháp luật liên quan (khoản 1 Điều 2 NQ 205).</w:t>
      </w:r>
    </w:p>
    <w:p>
      <w:pPr>
        <w:keepNext/>
        <w:spacing w:after="60" w:before="120"/>
      </w:pPr>
      <w:r>
        <w:rPr>
          <w:rFonts w:ascii="Times New Roman" w:cs="Times New Roman" w:eastAsia="Times New Roman" w:hAnsi="Times New Roman"/>
          <w:b/>
          <w:bCs/>
          <w:sz w:val="26"/>
          <w:szCs w:val="26"/>
        </w:rPr>
        <w:t xml:space="preserve">2. Đối tượng được bảo vệ</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536"/>
        <w:gridCol w:w="4535"/>
      </w:tblGrid>
      <w:tr>
        <w:trPr>
          <w:cantSplit/>
          <w:tblHeader/>
        </w:trPr>
        <w:tc>
          <w:tcPr>
            <w:tcW w:type="dxa" w:w="45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Nhóm dễ bị tổn thương (khoản 1 Điều 3 NQ 205)</w:t>
            </w:r>
          </w:p>
        </w:tc>
        <w:tc>
          <w:tcPr>
            <w:tcW w:type="dxa" w:w="453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Lợi ích công (khoản 2 Điều 3 NQ 205; Điều 4 TTLT 09)</w:t>
            </w:r>
          </w:p>
        </w:tc>
      </w:tr>
      <w:tr>
        <w:trPr>
          <w:cantSplit/>
          <w:tblHeader w:val="false"/>
        </w:trPr>
        <w:tc>
          <w:tcPr>
            <w:tcW w:type="dxa" w:w="45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a) Trẻ em (dưới 16 tuổi – Luật Trẻ em)</w:t>
            </w:r>
          </w:p>
          <w:p>
            <w:pPr>
              <w:spacing w:after="20"/>
              <w:jc w:val="left"/>
            </w:pPr>
            <w:r>
              <w:rPr>
                <w:rFonts w:ascii="Times New Roman" w:cs="Times New Roman" w:eastAsia="Times New Roman" w:hAnsi="Times New Roman"/>
                <w:sz w:val="22"/>
                <w:szCs w:val="22"/>
              </w:rPr>
              <w:t xml:space="preserve">b) Người cao tuổi (từ đủ 60 tuổi)</w:t>
            </w:r>
          </w:p>
          <w:p>
            <w:pPr>
              <w:spacing w:after="20"/>
              <w:jc w:val="left"/>
            </w:pPr>
            <w:r>
              <w:rPr>
                <w:rFonts w:ascii="Times New Roman" w:cs="Times New Roman" w:eastAsia="Times New Roman" w:hAnsi="Times New Roman"/>
                <w:sz w:val="22"/>
                <w:szCs w:val="22"/>
              </w:rPr>
              <w:t xml:space="preserve">c) Người khuyết tật</w:t>
            </w:r>
          </w:p>
          <w:p>
            <w:pPr>
              <w:spacing w:after="20"/>
              <w:jc w:val="left"/>
            </w:pPr>
            <w:r>
              <w:rPr>
                <w:rFonts w:ascii="Times New Roman" w:cs="Times New Roman" w:eastAsia="Times New Roman" w:hAnsi="Times New Roman"/>
                <w:sz w:val="22"/>
                <w:szCs w:val="22"/>
              </w:rPr>
              <w:t xml:space="preserve">d) Phụ nữ mang thai hoặc nuôi con dưới 36 tháng tuổi</w:t>
            </w:r>
          </w:p>
          <w:p>
            <w:pPr>
              <w:spacing w:after="20"/>
              <w:jc w:val="left"/>
            </w:pPr>
            <w:r>
              <w:rPr>
                <w:rFonts w:ascii="Times New Roman" w:cs="Times New Roman" w:eastAsia="Times New Roman" w:hAnsi="Times New Roman"/>
                <w:sz w:val="22"/>
                <w:szCs w:val="22"/>
              </w:rPr>
              <w:t xml:space="preserve">đ) Người có khó khăn trong nhận thức, làm chủ hành vi; người mất năng lực hành vi dân sự (BLDS)</w:t>
            </w:r>
          </w:p>
          <w:p>
            <w:pPr>
              <w:spacing w:after="20"/>
              <w:jc w:val="left"/>
            </w:pPr>
            <w:r>
              <w:rPr>
                <w:rFonts w:ascii="Times New Roman" w:cs="Times New Roman" w:eastAsia="Times New Roman" w:hAnsi="Times New Roman"/>
                <w:sz w:val="22"/>
                <w:szCs w:val="22"/>
              </w:rPr>
              <w:t xml:space="preserve">e) Người dân tộc thiểu số thuộc diện được trợ giúp pháp lý, cư trú tại vùng đặc biệt khó khăn</w:t>
            </w:r>
          </w:p>
        </w:tc>
        <w:tc>
          <w:tcPr>
            <w:tcW w:type="dxa" w:w="453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a) Đầu tư công</w:t>
            </w:r>
          </w:p>
          <w:p>
            <w:pPr>
              <w:spacing w:after="20"/>
              <w:jc w:val="left"/>
            </w:pPr>
            <w:r>
              <w:rPr>
                <w:rFonts w:ascii="Times New Roman" w:cs="Times New Roman" w:eastAsia="Times New Roman" w:hAnsi="Times New Roman"/>
                <w:sz w:val="22"/>
                <w:szCs w:val="22"/>
              </w:rPr>
              <w:t xml:space="preserve">b) Đất đai (đất công), tài nguyên, tài sản công khác</w:t>
            </w:r>
          </w:p>
          <w:p>
            <w:pPr>
              <w:spacing w:after="20"/>
              <w:jc w:val="left"/>
            </w:pPr>
            <w:r>
              <w:rPr>
                <w:rFonts w:ascii="Times New Roman" w:cs="Times New Roman" w:eastAsia="Times New Roman" w:hAnsi="Times New Roman"/>
                <w:sz w:val="22"/>
                <w:szCs w:val="22"/>
              </w:rPr>
              <w:t xml:space="preserve">c) Môi trường, hệ sinh thái</w:t>
            </w:r>
          </w:p>
          <w:p>
            <w:pPr>
              <w:spacing w:after="20"/>
              <w:jc w:val="left"/>
            </w:pPr>
            <w:r>
              <w:rPr>
                <w:rFonts w:ascii="Times New Roman" w:cs="Times New Roman" w:eastAsia="Times New Roman" w:hAnsi="Times New Roman"/>
                <w:sz w:val="22"/>
                <w:szCs w:val="22"/>
              </w:rPr>
              <w:t xml:space="preserve">d) Di sản văn hóa thuộc sở hữu toàn dân</w:t>
            </w:r>
          </w:p>
          <w:p>
            <w:pPr>
              <w:spacing w:after="20"/>
              <w:jc w:val="left"/>
            </w:pPr>
            <w:r>
              <w:rPr>
                <w:rFonts w:ascii="Times New Roman" w:cs="Times New Roman" w:eastAsia="Times New Roman" w:hAnsi="Times New Roman"/>
                <w:sz w:val="22"/>
                <w:szCs w:val="22"/>
              </w:rPr>
              <w:t xml:space="preserve">đ) An toàn thực phẩm, dược phẩm</w:t>
            </w:r>
          </w:p>
          <w:p>
            <w:pPr>
              <w:spacing w:after="20"/>
              <w:jc w:val="left"/>
            </w:pPr>
            <w:r>
              <w:rPr>
                <w:rFonts w:ascii="Times New Roman" w:cs="Times New Roman" w:eastAsia="Times New Roman" w:hAnsi="Times New Roman"/>
                <w:sz w:val="22"/>
                <w:szCs w:val="22"/>
              </w:rPr>
              <w:t xml:space="preserve">e) Bảo vệ quyền lợi người tiêu dùng</w:t>
            </w:r>
          </w:p>
        </w:tc>
      </w:tr>
    </w:tbl>
    <w:p>
      <w:pPr>
        <w:spacing w:after="80"/>
      </w:pPr>
    </w:p>
    <w:p>
      <w:pPr>
        <w:keepNext/>
        <w:spacing w:after="60" w:before="120"/>
      </w:pPr>
      <w:r>
        <w:rPr>
          <w:rFonts w:ascii="Times New Roman" w:cs="Times New Roman" w:eastAsia="Times New Roman" w:hAnsi="Times New Roman"/>
          <w:b/>
          <w:bCs/>
          <w:sz w:val="26"/>
          <w:szCs w:val="26"/>
        </w:rPr>
        <w:t xml:space="preserve">3. Đơn vị và người có thẩm quyền tại VKSND khu vực</w:t>
      </w:r>
    </w:p>
    <w:p>
      <w:pPr>
        <w:pStyle w:val="ListParagraph"/>
        <w:numPr>
          <w:ilvl w:val="0"/>
          <w:numId w:val="2"/>
        </w:numPr>
        <w:spacing w:after="40" w:line="290"/>
        <w:jc w:val="left"/>
      </w:pPr>
      <w:r>
        <w:rPr>
          <w:rFonts w:ascii="Times New Roman" w:cs="Times New Roman" w:eastAsia="Times New Roman" w:hAnsi="Times New Roman"/>
          <w:sz w:val="26"/>
          <w:szCs w:val="26"/>
        </w:rPr>
        <w:t xml:space="preserve">Đơn vị giải quyết: Phòng/bộ phận Kiểm sát án dân sự. Đơn vị khác nhận được thông tin phải chuyển ngay cho đơn vị này.</w:t>
      </w:r>
    </w:p>
    <w:p>
      <w:pPr>
        <w:pStyle w:val="ListParagraph"/>
        <w:numPr>
          <w:ilvl w:val="0"/>
          <w:numId w:val="2"/>
        </w:numPr>
        <w:spacing w:after="40" w:line="290"/>
        <w:jc w:val="left"/>
      </w:pPr>
      <w:r>
        <w:rPr>
          <w:rFonts w:ascii="Times New Roman" w:cs="Times New Roman" w:eastAsia="Times New Roman" w:hAnsi="Times New Roman"/>
          <w:sz w:val="26"/>
          <w:szCs w:val="26"/>
        </w:rPr>
        <w:t xml:space="preserve">Viện trưởng ký quyết định, phê duyệt kế hoạch (có thể ủy quyền Phó Viện trưởng). Báo cáo đề xuất phải có ý kiến Phó Viện trưởng phụ trách và Viện trưởng.</w:t>
      </w:r>
    </w:p>
    <w:p>
      <w:pPr>
        <w:pStyle w:val="ListParagraph"/>
        <w:numPr>
          <w:ilvl w:val="0"/>
          <w:numId w:val="2"/>
        </w:numPr>
        <w:spacing w:after="40" w:line="290"/>
        <w:jc w:val="left"/>
      </w:pPr>
      <w:r>
        <w:rPr>
          <w:rFonts w:ascii="Times New Roman" w:cs="Times New Roman" w:eastAsia="Times New Roman" w:hAnsi="Times New Roman"/>
          <w:sz w:val="26"/>
          <w:szCs w:val="26"/>
        </w:rPr>
        <w:t xml:space="preserve">Vụ việc phức tạp, thiệt hại lớn, liên quan nhiều khu vực, có yếu tố nước ngoài thuộc thẩm quyền VKSND Thành phố Hồ Chí Minh (khoản 2 Điều 6 NQ 205).</w:t>
      </w:r>
    </w:p>
    <w:p>
      <w:pPr>
        <w:keepNext/>
        <w:spacing w:after="60" w:before="120"/>
      </w:pPr>
      <w:r>
        <w:rPr>
          <w:rFonts w:ascii="Times New Roman" w:cs="Times New Roman" w:eastAsia="Times New Roman" w:hAnsi="Times New Roman"/>
          <w:b/>
          <w:bCs/>
          <w:sz w:val="26"/>
          <w:szCs w:val="26"/>
        </w:rPr>
        <w:t xml:space="preserve">4. Khác biệt giữa hai loại vụ việc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268"/>
        <w:gridCol w:w="3402"/>
        <w:gridCol w:w="3401"/>
      </w:tblGrid>
      <w:tr>
        <w:trPr>
          <w:cantSplit/>
          <w:tblHeader/>
        </w:trPr>
        <w:tc>
          <w:tcPr>
            <w:tcW w:type="dxa" w:w="2268"/>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Tiêu chí</w:t>
            </w:r>
          </w:p>
        </w:tc>
        <w:tc>
          <w:tcPr>
            <w:tcW w:type="dxa" w:w="3402"/>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Nhóm dễ bị tổn thương</w:t>
            </w:r>
          </w:p>
        </w:tc>
        <w:tc>
          <w:tcPr>
            <w:tcW w:type="dxa" w:w="340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Lợi ích công</w:t>
            </w:r>
          </w:p>
        </w:tc>
      </w:tr>
      <w:tr>
        <w:trPr>
          <w:cantSplit/>
          <w:tblHeader w:val="false"/>
        </w:trPr>
        <w:tc>
          <w:tcPr>
            <w:tcW w:type="dxa" w:w="22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Văn bản trước khi khởi kiện</w:t>
            </w:r>
          </w:p>
        </w:tc>
        <w:tc>
          <w:tcPr>
            <w:tcW w:type="dxa" w:w="34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Thông báo khởi kiện (Mẫu 23/DSCI)</w:t>
            </w:r>
          </w:p>
        </w:tc>
        <w:tc>
          <w:tcPr>
            <w:tcW w:type="dxa" w:w="34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Kiến nghị khởi kiện (Mẫu 24/DSCI)</w:t>
            </w:r>
          </w:p>
        </w:tc>
      </w:tr>
      <w:tr>
        <w:trPr>
          <w:cantSplit/>
          <w:tblHeader w:val="false"/>
        </w:trPr>
        <w:tc>
          <w:tcPr>
            <w:tcW w:type="dxa" w:w="22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kiện VKS khởi kiện</w:t>
            </w:r>
          </w:p>
        </w:tc>
        <w:tc>
          <w:tcPr>
            <w:tcW w:type="dxa" w:w="34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Người bị xâm phạm không thể tự khởi kiện và có văn bản đề nghị VKS</w:t>
            </w:r>
          </w:p>
        </w:tc>
        <w:tc>
          <w:tcPr>
            <w:tcW w:type="dxa" w:w="34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Cơ quan được kiến nghị không trả lời hoặc từ chối không có lý do chính đáng</w:t>
            </w:r>
          </w:p>
        </w:tc>
      </w:tr>
      <w:tr>
        <w:trPr>
          <w:cantSplit/>
          <w:tblHeader w:val="false"/>
        </w:trPr>
        <w:tc>
          <w:tcPr>
            <w:tcW w:type="dxa" w:w="22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Hòa giải, phản tố</w:t>
            </w:r>
          </w:p>
        </w:tc>
        <w:tc>
          <w:tcPr>
            <w:tcW w:type="dxa" w:w="34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Không bị cấm</w:t>
            </w:r>
          </w:p>
        </w:tc>
        <w:tc>
          <w:tcPr>
            <w:tcW w:type="dxa" w:w="34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Không được hòa giải; bị đơn không được phản tố</w:t>
            </w:r>
          </w:p>
        </w:tc>
      </w:tr>
      <w:tr>
        <w:trPr>
          <w:cantSplit/>
          <w:tblHeader w:val="false"/>
        </w:trPr>
        <w:tc>
          <w:tcPr>
            <w:tcW w:type="dxa" w:w="2268"/>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Thi hành án</w:t>
            </w:r>
          </w:p>
        </w:tc>
        <w:tc>
          <w:tcPr>
            <w:tcW w:type="dxa" w:w="3402"/>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Theo Luật Thi hành án dân sự</w:t>
            </w:r>
          </w:p>
        </w:tc>
        <w:tc>
          <w:tcPr>
            <w:tcW w:type="dxa" w:w="340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Cơ quan THADS chủ động thi hành (Điều 17 NQ 205)</w:t>
            </w:r>
          </w:p>
        </w:tc>
      </w:tr>
    </w:tbl>
    <w:p>
      <w:pPr>
        <w:pStyle w:val="Heading1"/>
        <w:spacing w:after="120" w:before="280"/>
      </w:pPr>
      <w:r>
        <w:rPr>
          <w:rFonts w:ascii="Times New Roman" w:cs="Times New Roman" w:eastAsia="Times New Roman" w:hAnsi="Times New Roman"/>
          <w:b/>
          <w:bCs/>
          <w:sz w:val="28"/>
          <w:szCs w:val="28"/>
        </w:rPr>
        <w:t xml:space="preserve">II. TỔNG QUAN 7 BƯỚC</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825"/>
        <w:gridCol w:w="4123"/>
        <w:gridCol w:w="4123"/>
      </w:tblGrid>
      <w:tr>
        <w:trPr>
          <w:cantSplit/>
          <w:tblHeader/>
        </w:trPr>
        <w:tc>
          <w:tcPr>
            <w:tcW w:type="dxa" w:w="825"/>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Bước</w:t>
            </w:r>
          </w:p>
        </w:tc>
        <w:tc>
          <w:tcPr>
            <w:tcW w:type="dxa" w:w="412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Nội dung</w:t>
            </w:r>
          </w:p>
        </w:tc>
        <w:tc>
          <w:tcPr>
            <w:tcW w:type="dxa" w:w="412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Mốc thời hạn chính</w:t>
            </w:r>
          </w:p>
        </w:tc>
      </w:tr>
      <w:tr>
        <w:trPr>
          <w:cantSplit/>
          <w:tblHeader w:val="false"/>
        </w:trPr>
        <w:tc>
          <w:tcPr>
            <w:tcW w:type="dxa" w:w="8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Tiếp nhận, xử lý thông tin</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Thông báo tiếp nhận: 03 ngày làm việc; chuyển thẩm quyền: 02 ngày làm việc</w:t>
            </w:r>
          </w:p>
        </w:tc>
      </w:tr>
      <w:tr>
        <w:trPr>
          <w:cantSplit/>
          <w:tblHeader w:val="false"/>
        </w:trPr>
        <w:tc>
          <w:tcPr>
            <w:tcW w:type="dxa" w:w="8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2</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Kiểm tra tính xác thực, thụ lý</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30 ngày kể từ tiếp nhận</w:t>
            </w:r>
          </w:p>
        </w:tc>
      </w:tr>
      <w:tr>
        <w:trPr>
          <w:cantSplit/>
          <w:tblHeader w:val="false"/>
        </w:trPr>
        <w:tc>
          <w:tcPr>
            <w:tcW w:type="dxa" w:w="8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Phân công, lập kế hoạch, xác minh, thu thập chứng cứ</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Đánh giá và đề xuất trong 30 ngày kể từ có kết quả xác minh</w:t>
            </w:r>
          </w:p>
        </w:tc>
      </w:tr>
      <w:tr>
        <w:trPr>
          <w:cantSplit/>
          <w:tblHeader w:val="false"/>
        </w:trPr>
        <w:tc>
          <w:tcPr>
            <w:tcW w:type="dxa" w:w="8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Yêu cầu chấm dứt vi phạm (song song Bước 3); đình chỉ, chấm dứt, phục hồi</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Bên vi phạm trả lời 15 ngày</w:t>
            </w:r>
          </w:p>
        </w:tc>
      </w:tr>
      <w:tr>
        <w:trPr>
          <w:cantSplit/>
          <w:tblHeader w:val="false"/>
        </w:trPr>
        <w:tc>
          <w:tcPr>
            <w:tcW w:type="dxa" w:w="8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5</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Thông báo / kiến nghị / hỗ trợ khởi kiện</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Chờ trả lời 30 ngày</w:t>
            </w:r>
          </w:p>
        </w:tc>
      </w:tr>
      <w:tr>
        <w:trPr>
          <w:cantSplit/>
          <w:tblHeader w:val="false"/>
        </w:trPr>
        <w:tc>
          <w:tcPr>
            <w:tcW w:type="dxa" w:w="8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6</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Khởi kiện, biện pháp khẩn cấp tạm thời</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Quyết định trong 02 tháng; gửi Tòa 05 ngày làm việc</w:t>
            </w:r>
          </w:p>
        </w:tc>
      </w:tr>
      <w:tr>
        <w:trPr>
          <w:cantSplit/>
          <w:tblHeader w:val="false"/>
        </w:trPr>
        <w:tc>
          <w:tcPr>
            <w:tcW w:type="dxa" w:w="825"/>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7</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Tham gia phiên tòa sơ thẩm</w:t>
            </w:r>
          </w:p>
        </w:tc>
        <w:tc>
          <w:tcPr>
            <w:tcW w:type="dxa" w:w="412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Phân công KSV trong 05 ngày kể từ nhận thông báo thụ lý</w:t>
            </w:r>
          </w:p>
        </w:tc>
      </w:tr>
    </w:tbl>
    <w:p>
      <w:pPr>
        <w:spacing w:after="80" w:line="300"/>
        <w:ind w:firstLine="567"/>
        <w:jc w:val="both"/>
      </w:pPr>
      <w:r>
        <w:rPr>
          <w:rFonts w:ascii="Times New Roman" w:cs="Times New Roman" w:eastAsia="Times New Roman" w:hAnsi="Times New Roman"/>
          <w:sz w:val="26"/>
          <w:szCs w:val="26"/>
        </w:rPr>
        <w:t xml:space="preserve">Sau xét xử sơ thẩm, thẩm quyền kháng nghị phúc thẩm, giám đốc thẩm, tái thẩm thực hiện theo BLTTDS; quyết định phân công Kiểm sát viên phiên tòa phúc thẩm gửi Tòa án trong 05 ngày (Điều 27, 28 TTLT 09).</w:t>
      </w:r>
    </w:p>
    <w:p>
      <w:pPr>
        <w:pStyle w:val="Heading1"/>
        <w:spacing w:after="120" w:before="280"/>
      </w:pPr>
      <w:r>
        <w:rPr>
          <w:rFonts w:ascii="Times New Roman" w:cs="Times New Roman" w:eastAsia="Times New Roman" w:hAnsi="Times New Roman"/>
          <w:b/>
          <w:bCs/>
          <w:sz w:val="28"/>
          <w:szCs w:val="28"/>
        </w:rPr>
        <w:t xml:space="preserve">III. NỘI DUNG CHI TIẾT TỪNG BƯỚC VÀ MẪU VĂN BẢN</w:t>
      </w:r>
    </w:p>
    <w:p>
      <w:pPr>
        <w:pStyle w:val="Heading2"/>
        <w:keepNext/>
        <w:spacing w:after="80" w:before="200"/>
      </w:pPr>
      <w:r>
        <w:rPr>
          <w:rFonts w:ascii="Times New Roman" w:cs="Times New Roman" w:eastAsia="Times New Roman" w:hAnsi="Times New Roman"/>
          <w:b/>
          <w:bCs/>
          <w:sz w:val="26"/>
          <w:szCs w:val="26"/>
        </w:rPr>
        <w:t xml:space="preserve">BƯỚC 1. TIẾP NHẬN, XỬ LÝ THÔNG TIN</w:t>
      </w:r>
    </w:p>
    <w:p>
      <w:pPr>
        <w:spacing w:after="80" w:line="300"/>
        <w:ind w:firstLine="567"/>
        <w:jc w:val="both"/>
      </w:pPr>
      <w:r>
        <w:rPr>
          <w:rFonts w:ascii="Times New Roman" w:cs="Times New Roman" w:eastAsia="Times New Roman" w:hAnsi="Times New Roman"/>
          <w:sz w:val="26"/>
          <w:szCs w:val="26"/>
        </w:rPr>
        <w:t xml:space="preserve">Mọi thông tin về vụ việc dân sự công ích phải được ghi vào Sổ tiếp nhận thông tin và thông báo cho người cung cấp trong 03 ngày làm việc (Điều 6 TTLT 09; mục B.I.2 HD 42).</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83"/>
        <w:gridCol w:w="3667"/>
        <w:gridCol w:w="1544"/>
        <w:gridCol w:w="1641"/>
        <w:gridCol w:w="1736"/>
      </w:tblGrid>
      <w:tr>
        <w:trPr>
          <w:cantSplit/>
          <w:tblHeader/>
        </w:trPr>
        <w:tc>
          <w:tcPr>
            <w:tcW w:type="dxa" w:w="48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TT</w:t>
            </w:r>
          </w:p>
        </w:tc>
        <w:tc>
          <w:tcPr>
            <w:tcW w:type="dxa" w:w="366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Công việc</w:t>
            </w:r>
          </w:p>
        </w:tc>
        <w:tc>
          <w:tcPr>
            <w:tcW w:type="dxa" w:w="15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Thời hạn</w:t>
            </w:r>
          </w:p>
        </w:tc>
        <w:tc>
          <w:tcPr>
            <w:tcW w:type="dxa" w:w="164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Căn cứ</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Mẫu văn bản</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Tiếp nhận thông tin từ các nguồn: cơ quan, tổ chức, cá nhân gửi đến; truyền thông, dư luận xã hội; VKS phát hiện qua giải quyết vụ án khác; nguồn hợp pháp khác. Chủ động khai thác kết luận thanh tra, kiểm toán, kiểm tra chuyên ngành.</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 khi nhận</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10 NQ 205; Điều 5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Người cung cấp trình bày, nộp tài liệu trực tiếp tại VKS (điểm a khoản 3 Điều 5 TTLT 09): lập Biên bản tiếp nhận (02 bản); tài liệu giao nộp lập biên bản giao nhận.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2 Điều 6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01/DSCI; Mẫu 17/DSCI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Thông tin qua bưu chính, thư điện tử, đường dây nóng, VNeID, ứng dụng số (điểm b–e khoản 3 Điều 5): kiểm tra đủ 6 nội dung tại khoản 4 Điều 5 TTLT 09.</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3, 4 Điều 5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Đủ nội dung → ghi Sổ tiếp nhận và thông báo việc tiếp nhận cho người cung cấp (văn bản hoặc email).</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03 ngày làm việc kể từ ngày ghi sổ</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3 Điều 6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14/HD-DSCI; Mẫu 02/DSCI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1.5</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Thiếu nội dung → yêu cầu bổ sung. Hết hạn không bổ sung hoặc bổ sung không đủ → ghi sổ “thông tin không đủ cơ sở để xử lý” và thông báo.</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07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B.I.2.1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14/HD-DSCI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1.6</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Không thuộc thẩm quyền → chuyển VKS có thẩm quyền, ghi sổ, thông báo người cung cấp. Vụ phức tạp, nhiều khu vực, có yếu tố nước ngoài → chuyển VKSND Thành phố.</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02 ngày làm việc kể từ ngày tiếp nhận</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4 Điều 6, Điều 7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1.7</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Phát hiện qua công tác thực hành quyền công tố, kiểm sát hoạt động tư pháp: đơn vị phát hiện chuyển thông tin, bản sao tài liệu cho Đơn vị giải quyết và báo cáo lãnh đạo.</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4 Điều 7, Điều 8 TTLT 09; mục B.I.2.3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bl>
    <w:p>
      <w:pPr>
        <w:keepNext/>
        <w:spacing w:after="60" w:before="120"/>
      </w:pPr>
      <w:r>
        <w:rPr>
          <w:rFonts w:ascii="Times New Roman" w:cs="Times New Roman" w:eastAsia="Times New Roman" w:hAnsi="Times New Roman"/>
          <w:b/>
          <w:bCs/>
          <w:sz w:val="26"/>
          <w:szCs w:val="26"/>
        </w:rPr>
        <w:t xml:space="preserve">Mẫu văn bản kèm theo (thư mục B1_Tiep_nhan_thong_tin):</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01/DSCI – Biên bản tiếp nhận thông tin về vụ án dân sự công ích: tệp </w:t>
      </w:r>
      <w:r>
        <w:rPr>
          <w:rFonts w:ascii="Times New Roman" w:cs="Times New Roman" w:eastAsia="Times New Roman" w:hAnsi="Times New Roman"/>
          <w:i/>
          <w:iCs/>
          <w:sz w:val="26"/>
          <w:szCs w:val="26"/>
        </w:rPr>
        <w:t xml:space="preserve">Mau_01_TTLT09_Bien_ban_tiep_nhan_thong_tin.docx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02/DSCI – Thông báo việc tiếp nhận thông tin về vụ án dân sự công ích: tệp </w:t>
      </w:r>
      <w:r>
        <w:rPr>
          <w:rFonts w:ascii="Times New Roman" w:cs="Times New Roman" w:eastAsia="Times New Roman" w:hAnsi="Times New Roman"/>
          <w:i/>
          <w:iCs/>
          <w:sz w:val="26"/>
          <w:szCs w:val="26"/>
        </w:rPr>
        <w:t xml:space="preserve">Mau_02_TTLT09_Thong_bao_viec_tiep_nhan_thong_tin.docx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14/HD-DSCI – Sổ tiếp nhận thông tin vụ việc dân sự công ích: tệp </w:t>
      </w:r>
      <w:r>
        <w:rPr>
          <w:rFonts w:ascii="Times New Roman" w:cs="Times New Roman" w:eastAsia="Times New Roman" w:hAnsi="Times New Roman"/>
          <w:i/>
          <w:iCs/>
          <w:sz w:val="26"/>
          <w:szCs w:val="26"/>
        </w:rPr>
        <w:t xml:space="preserve">Mau_14_HD42_So_tiep_nhan_thong_tin.docx</w:t>
      </w:r>
    </w:p>
    <w:p>
      <w:pPr>
        <w:pStyle w:val="Heading2"/>
        <w:keepNext/>
        <w:spacing w:after="80" w:before="200"/>
      </w:pPr>
      <w:r>
        <w:rPr>
          <w:rFonts w:ascii="Times New Roman" w:cs="Times New Roman" w:eastAsia="Times New Roman" w:hAnsi="Times New Roman"/>
          <w:b/>
          <w:bCs/>
          <w:sz w:val="26"/>
          <w:szCs w:val="26"/>
        </w:rPr>
        <w:t xml:space="preserve">BƯỚC 2. KIỂM TRA TÍNH XÁC THỰC, THỤ LÝ VỤ VIỆC</w:t>
      </w:r>
    </w:p>
    <w:p>
      <w:pPr>
        <w:spacing w:after="80" w:line="300"/>
        <w:ind w:firstLine="567"/>
        <w:jc w:val="both"/>
      </w:pPr>
      <w:r>
        <w:rPr>
          <w:rFonts w:ascii="Times New Roman" w:cs="Times New Roman" w:eastAsia="Times New Roman" w:hAnsi="Times New Roman"/>
          <w:sz w:val="26"/>
          <w:szCs w:val="26"/>
        </w:rPr>
        <w:t xml:space="preserve">Viện trưởng quyết định thụ lý hoặc không thụ lý trong 30 ngày kể từ ngày tiếp nhận thông tin (khoản 5 Điều 6 TTLT 09). HD 42 tính từ ngày ghi sổ; nên theo mốc sớm hơn.</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83"/>
        <w:gridCol w:w="3667"/>
        <w:gridCol w:w="1544"/>
        <w:gridCol w:w="1641"/>
        <w:gridCol w:w="1736"/>
      </w:tblGrid>
      <w:tr>
        <w:trPr>
          <w:cantSplit/>
          <w:tblHeader/>
        </w:trPr>
        <w:tc>
          <w:tcPr>
            <w:tcW w:type="dxa" w:w="48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TT</w:t>
            </w:r>
          </w:p>
        </w:tc>
        <w:tc>
          <w:tcPr>
            <w:tcW w:type="dxa" w:w="366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Công việc</w:t>
            </w:r>
          </w:p>
        </w:tc>
        <w:tc>
          <w:tcPr>
            <w:tcW w:type="dxa" w:w="15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Thời hạn</w:t>
            </w:r>
          </w:p>
        </w:tc>
        <w:tc>
          <w:tcPr>
            <w:tcW w:type="dxa" w:w="164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Căn cứ</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Mẫu văn bản</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2.1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Đơn vị giải quyết (Phòng/bộ phận Kiểm sát án dân sự) tham mưu Viện trưởng phân công ngay Kiểm sát viên kiểm tra tính xác thực; Kiểm sát viên lập hồ sơ xử lý thông tin tại bộ phận Văn phòng.</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B.I.3.1–3.2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01/HD-DSCI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2.2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Tài liệu đã đủ → Báo cáo đề xuất thụ lý. Chưa đủ → Báo cáo đề xuất áp dụng biện pháp tại Điều 8 NQ 205; Viện trưởng có thể lập “Tổ kiểm tra thông tin”.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Trong 30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B.I.3.3–3.4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 Mẫu 03/HD-DSCI; Mẫu 13/HD-DSCI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2.3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Báo cáo đề xuất phải làm rõ: có hành vi trái pháp luật, có thuộc đối tượng NQ 205; chủ thể vi phạm còn tồn tại; cơ quan quản lý lĩnh vực và việc xử lý; tính khả thi (vi phạm, thiệt hại, nhân quả); tác động của vụ việc.</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B.I.3.3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2.4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Viện trưởng cho ý kiến. Đồng ý → ghi Sổ thụ lý. Không đồng ý → ghi Sổ tiếp nhận “chấm dứt xử lý thông tin do không có căn cứ” và thông báo người cung cấp.</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02 ngày làm việc</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B.I.3.6 HD 42; khoản 5 Điều 6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15/HD-DSCI; Mẫu 14/HD-DSCI</w:t>
            </w:r>
          </w:p>
        </w:tc>
      </w:tr>
    </w:tbl>
    <w:p>
      <w:pPr>
        <w:keepNext/>
        <w:spacing w:after="60" w:before="120"/>
      </w:pPr>
      <w:r>
        <w:rPr>
          <w:rFonts w:ascii="Times New Roman" w:cs="Times New Roman" w:eastAsia="Times New Roman" w:hAnsi="Times New Roman"/>
          <w:b/>
          <w:bCs/>
          <w:sz w:val="26"/>
          <w:szCs w:val="26"/>
        </w:rPr>
        <w:t xml:space="preserve">Mẫu văn bản kèm theo (thư mục B2_Kiem_tra_Thu_ly):</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11/HD-DSCI – Báo cáo đề xuất: tệp </w:t>
      </w:r>
      <w:r>
        <w:rPr>
          <w:rFonts w:ascii="Times New Roman" w:cs="Times New Roman" w:eastAsia="Times New Roman" w:hAnsi="Times New Roman"/>
          <w:i/>
          <w:iCs/>
          <w:sz w:val="26"/>
          <w:szCs w:val="26"/>
        </w:rPr>
        <w:t xml:space="preserve">Mau_11_HD42_Bao_cao_de_xuat.docx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15/HD-DSCI – Sổ thụ lý vụ việc dân sự công ích: tệp </w:t>
      </w:r>
      <w:r>
        <w:rPr>
          <w:rFonts w:ascii="Times New Roman" w:cs="Times New Roman" w:eastAsia="Times New Roman" w:hAnsi="Times New Roman"/>
          <w:i/>
          <w:iCs/>
          <w:sz w:val="26"/>
          <w:szCs w:val="26"/>
        </w:rPr>
        <w:t xml:space="preserve">Mau_15_HD42_So_thu_ly_vu_viec.docx</w:t>
      </w:r>
    </w:p>
    <w:p>
      <w:pPr>
        <w:pStyle w:val="Heading2"/>
        <w:keepNext/>
        <w:spacing w:after="80" w:before="200"/>
      </w:pPr>
      <w:r>
        <w:rPr>
          <w:rFonts w:ascii="Times New Roman" w:cs="Times New Roman" w:eastAsia="Times New Roman" w:hAnsi="Times New Roman"/>
          <w:b/>
          <w:bCs/>
          <w:sz w:val="26"/>
          <w:szCs w:val="26"/>
        </w:rPr>
        <w:t xml:space="preserve">BƯỚC 3. PHÂN CÔNG, LẬP KẾ HOẠCH, XÁC MINH, THU THẬP CHỨNG CỨ</w:t>
      </w:r>
    </w:p>
    <w:p>
      <w:pPr>
        <w:spacing w:after="80" w:line="300"/>
        <w:ind w:firstLine="567"/>
        <w:jc w:val="both"/>
      </w:pPr>
      <w:r>
        <w:rPr>
          <w:rFonts w:ascii="Times New Roman" w:cs="Times New Roman" w:eastAsia="Times New Roman" w:hAnsi="Times New Roman"/>
          <w:sz w:val="26"/>
          <w:szCs w:val="26"/>
        </w:rPr>
        <w:t xml:space="preserve">Kiểm sát viên dự thảo mọi quyết định, kế hoạch; Viện trưởng ký hoặc phê duyệt trong 02 ngày làm việc. Kết quả xác minh phải làm rõ 5 vấn đề: chủ thể vi phạm, hành vi, hậu quả thiệt hại, quan hệ nhân quả, lỗi.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83"/>
        <w:gridCol w:w="3667"/>
        <w:gridCol w:w="1544"/>
        <w:gridCol w:w="1641"/>
        <w:gridCol w:w="1736"/>
      </w:tblGrid>
      <w:tr>
        <w:trPr>
          <w:cantSplit/>
          <w:tblHeader/>
        </w:trPr>
        <w:tc>
          <w:tcPr>
            <w:tcW w:type="dxa" w:w="48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TT</w:t>
            </w:r>
          </w:p>
        </w:tc>
        <w:tc>
          <w:tcPr>
            <w:tcW w:type="dxa" w:w="366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Công việc</w:t>
            </w:r>
          </w:p>
        </w:tc>
        <w:tc>
          <w:tcPr>
            <w:tcW w:type="dxa" w:w="15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Thời hạn</w:t>
            </w:r>
          </w:p>
        </w:tc>
        <w:tc>
          <w:tcPr>
            <w:tcW w:type="dxa" w:w="164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Căn cứ</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Mẫu văn bản</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Quyết định phân công Kiểm sát viên hoặc thành lập Tổ công tác; thay đổi Kiểm sát viên khi cần.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 sau thụ lý</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B.II.1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01/HD-DSCI; Mẫu 03/HD-DSCI; Mẫu 02/HD-DSCI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VKS cấp trên giao VKS khu vực xác minh: cấp trên ra quyết định phân công.</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03 ngày làm việc kể từ thụ lý</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B.II.1.4 HD 42; Điều 7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04/HD-DSCI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Lập Kế hoạch xác minh, thu thập tài liệu, chứng cứ; kế hoạch bổ sung khi thay đổi nội dung quan trọng.</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B.II.2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05/HD-DSCI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Tiếp nhận tài liệu, dữ liệu điện tử, vật chứng; sao chụp tài liệu từ hồ sơ khác (ghi rõ nguồn gốc).</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8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17/DSCI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3.5</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Yêu cầu cung cấp tài liệu, chứng cứ.</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Người được yêu cầu cung cấp trong 15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9 NQ 205; Điều 9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03/DSCI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3.6</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Trưng cầu giám định (bổ sung, lại).</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Theo quyết định</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10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04/DSCI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3.7</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Định giá tài sản: thành lập Hội đồng định giá hoặc yêu cầu cơ quan có thẩm quyền định giá.</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Theo văn bản yêu cầu</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11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05/DSCI; Mẫu 06/DSCI; Mẫu 11/DSCI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3.8</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Trưng cầu ý kiến chuyên môn (văn bản hoặc trao đổi trực tiếp); trao đổi trực tiếp thì mời và lập biên bản.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Theo công văn</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12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07/DSCI; Mẫu 13/HD-DSCI; Mẫu 10/DSCI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3.9</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Lấy lời khai (ít nhất 02 người thực hiện; người chưa thành niên, người khó khăn nhận thức phải có người đại diện, người chứng kiến).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1 Điều 13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06/HD-DSCI; Mẫu 13/HD-DSCI; Mẫu 14/DSCI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3.10</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Đối chất khi lời khai mâu thuẫn.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2 Điều 13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07/HD-DSCI; Mẫu 15/DSCI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3.11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Xem xét, thẩm định tại chỗ (báo trước cho người liên quan; mời UBND, Công an cấp xã).</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Đề nghị hỗ trợ trước ít nhất 05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14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08/HD-DSCI; Mẫu 08/DSCI; Mẫu 12/DSCI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3.12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Kiểm tra, đánh giá hiện trường (chụp ảnh, ghi hình, đo đạc, dựng lại hiện trường, có thể dùng flycam).</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Đề nghị hỗ trợ trước 05 ngày; gấp: 24 giờ</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15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09/HD-DSCI; Mẫu 09/DSCI; Mẫu 13/DSCI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3.13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Xác minh, làm việc với cơ quan, tổ chức, cá nhân.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8 NQ 205</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16/DSCI; Mẫu 10/DSCI; Mẫu 13/HD-DSCI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3.14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Ủy thác cho VKS khác xác minh; ở nước ngoài thì yêu cầu tương trợ tư pháp.</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VKS được ủy thác: 01 tháng</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16 TTLT 09; mục B.II.4.11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18/DSCI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3.15</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Nghiên cứu, đánh giá chứng cứ; lập Báo cáo đề xuất thông báo khởi kiện hoặc kiến nghị khởi kiện (Tổ công tác thảo luận tập thể).</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30 ngày kể từ khi có kết quả xác minh</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2 Điều 13 NQ 205; mục B.II.6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w:t>
            </w:r>
          </w:p>
        </w:tc>
      </w:tr>
    </w:tbl>
    <w:p>
      <w:pPr>
        <w:keepNext/>
        <w:spacing w:after="60" w:before="120"/>
      </w:pPr>
      <w:r>
        <w:rPr>
          <w:rFonts w:ascii="Times New Roman" w:cs="Times New Roman" w:eastAsia="Times New Roman" w:hAnsi="Times New Roman"/>
          <w:b/>
          <w:bCs/>
          <w:sz w:val="26"/>
          <w:szCs w:val="26"/>
        </w:rPr>
        <w:t xml:space="preserve">Mẫu văn bản kèm theo (thư mục B3_Xac_minh_thu_thap_chung_cu):</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03/DSCI – Quyết định yêu cầu cung cấp tài liệu, chứng cứ: tệp </w:t>
      </w:r>
      <w:r>
        <w:rPr>
          <w:rFonts w:ascii="Times New Roman" w:cs="Times New Roman" w:eastAsia="Times New Roman" w:hAnsi="Times New Roman"/>
          <w:i/>
          <w:iCs/>
          <w:sz w:val="26"/>
          <w:szCs w:val="26"/>
        </w:rPr>
        <w:t xml:space="preserve">Mau_03_TTLT09_QD_yeu_cau_cung_cap_tai_lieu_chung_cu.docx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04/DSCI – Quyết định trưng cầu giám định (giám định bổ sung, giám định lại): tệp </w:t>
      </w:r>
      <w:r>
        <w:rPr>
          <w:rFonts w:ascii="Times New Roman" w:cs="Times New Roman" w:eastAsia="Times New Roman" w:hAnsi="Times New Roman"/>
          <w:i/>
          <w:iCs/>
          <w:sz w:val="26"/>
          <w:szCs w:val="26"/>
        </w:rPr>
        <w:t xml:space="preserve">Mau_04_TTLT09_QD_trung_cau_giam_dinh.docx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05/DSCI – Quyết định định giá tài sản và thành lập hội đồng định giá tài sản: tệp </w:t>
      </w:r>
      <w:r>
        <w:rPr>
          <w:rFonts w:ascii="Times New Roman" w:cs="Times New Roman" w:eastAsia="Times New Roman" w:hAnsi="Times New Roman"/>
          <w:i/>
          <w:iCs/>
          <w:sz w:val="26"/>
          <w:szCs w:val="26"/>
        </w:rPr>
        <w:t xml:space="preserve">Mau_05_TTLT09_QD_dinh_gia_tai_san_va_thanh_lap_Hoi_dong_dinh_gia.docx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06/DSCI – Yêu cầu định giá tài sản: tệp </w:t>
      </w:r>
      <w:r>
        <w:rPr>
          <w:rFonts w:ascii="Times New Roman" w:cs="Times New Roman" w:eastAsia="Times New Roman" w:hAnsi="Times New Roman"/>
          <w:i/>
          <w:iCs/>
          <w:sz w:val="26"/>
          <w:szCs w:val="26"/>
        </w:rPr>
        <w:t xml:space="preserve">Mau_06_TTLT09_Yeu_cau_dinh_gia_tai_san.docx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07/DSCI – : tệp </w:t>
      </w:r>
      <w:r>
        <w:rPr>
          <w:rFonts w:ascii="Times New Roman" w:cs="Times New Roman" w:eastAsia="Times New Roman" w:hAnsi="Times New Roman"/>
          <w:i/>
          <w:iCs/>
          <w:sz w:val="26"/>
          <w:szCs w:val="26"/>
        </w:rPr>
        <w:t xml:space="preserve">Mau_07_TTLT09_Cong_van_trung_cau_y_kien_chuyen_mon.docx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08/DSCI – Quyết định xem xét, thẩm định tại chỗ: tệp </w:t>
      </w:r>
      <w:r>
        <w:rPr>
          <w:rFonts w:ascii="Times New Roman" w:cs="Times New Roman" w:eastAsia="Times New Roman" w:hAnsi="Times New Roman"/>
          <w:i/>
          <w:iCs/>
          <w:sz w:val="26"/>
          <w:szCs w:val="26"/>
        </w:rPr>
        <w:t xml:space="preserve">Mau_08_TTLT09_QD_xem_xet_tham_dinh_tai_cho.docx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09/DSCI – Quyết định kiểm tra, đánh giá hiện trường: tệp </w:t>
      </w:r>
      <w:r>
        <w:rPr>
          <w:rFonts w:ascii="Times New Roman" w:cs="Times New Roman" w:eastAsia="Times New Roman" w:hAnsi="Times New Roman"/>
          <w:i/>
          <w:iCs/>
          <w:sz w:val="26"/>
          <w:szCs w:val="26"/>
        </w:rPr>
        <w:t xml:space="preserve">Mau_09_TTLT09_QD_kiem_tra_danh_gia_hien_truong.docx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10/DSCI – Biên bản làm việc: tệp </w:t>
      </w:r>
      <w:r>
        <w:rPr>
          <w:rFonts w:ascii="Times New Roman" w:cs="Times New Roman" w:eastAsia="Times New Roman" w:hAnsi="Times New Roman"/>
          <w:i/>
          <w:iCs/>
          <w:sz w:val="26"/>
          <w:szCs w:val="26"/>
        </w:rPr>
        <w:t xml:space="preserve">Mau_10_TTLT09_Bien_ban_lam_viec.docx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11/DSCI – Biên bản định giá tài sản: tệp </w:t>
      </w:r>
      <w:r>
        <w:rPr>
          <w:rFonts w:ascii="Times New Roman" w:cs="Times New Roman" w:eastAsia="Times New Roman" w:hAnsi="Times New Roman"/>
          <w:i/>
          <w:iCs/>
          <w:sz w:val="26"/>
          <w:szCs w:val="26"/>
        </w:rPr>
        <w:t xml:space="preserve">Mau_11_TTLT09_Bien_ban_dinh_gia_tai_san.docx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12/DSCI – Biên bản xem xét, thẩm định tại chỗ: tệp </w:t>
      </w:r>
      <w:r>
        <w:rPr>
          <w:rFonts w:ascii="Times New Roman" w:cs="Times New Roman" w:eastAsia="Times New Roman" w:hAnsi="Times New Roman"/>
          <w:i/>
          <w:iCs/>
          <w:sz w:val="26"/>
          <w:szCs w:val="26"/>
        </w:rPr>
        <w:t xml:space="preserve">Mau_12_TTLT09_Bien_ban_xem_xet_tham_dinh_tai_cho.docx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13/DSCI – Biên bản kiểm tra, đánh giá hiện trường: tệp </w:t>
      </w:r>
      <w:r>
        <w:rPr>
          <w:rFonts w:ascii="Times New Roman" w:cs="Times New Roman" w:eastAsia="Times New Roman" w:hAnsi="Times New Roman"/>
          <w:i/>
          <w:iCs/>
          <w:sz w:val="26"/>
          <w:szCs w:val="26"/>
        </w:rPr>
        <w:t xml:space="preserve">Mau_13_TTLT09_Bien_ban_kiem_tra_danh_gia_hien_truong.docx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14/DSCI – Biên bản ghi lời khai: tệp </w:t>
      </w:r>
      <w:r>
        <w:rPr>
          <w:rFonts w:ascii="Times New Roman" w:cs="Times New Roman" w:eastAsia="Times New Roman" w:hAnsi="Times New Roman"/>
          <w:i/>
          <w:iCs/>
          <w:sz w:val="26"/>
          <w:szCs w:val="26"/>
        </w:rPr>
        <w:t xml:space="preserve">Mau_14_TTLT09_Bien_ban_ghi_loi_khai.docx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15/DSCI – Biên bản đối chất: tệp </w:t>
      </w:r>
      <w:r>
        <w:rPr>
          <w:rFonts w:ascii="Times New Roman" w:cs="Times New Roman" w:eastAsia="Times New Roman" w:hAnsi="Times New Roman"/>
          <w:i/>
          <w:iCs/>
          <w:sz w:val="26"/>
          <w:szCs w:val="26"/>
        </w:rPr>
        <w:t xml:space="preserve">Mau_15_TTLT09_Bien_ban_doi_chat.docx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16/DSCI – Biên bản xác minh: tệp </w:t>
      </w:r>
      <w:r>
        <w:rPr>
          <w:rFonts w:ascii="Times New Roman" w:cs="Times New Roman" w:eastAsia="Times New Roman" w:hAnsi="Times New Roman"/>
          <w:i/>
          <w:iCs/>
          <w:sz w:val="26"/>
          <w:szCs w:val="26"/>
        </w:rPr>
        <w:t xml:space="preserve">Mau_16_TTLT09_Bien_ban_xac_minh.docx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17/DSCI – Biên bản giao, nhận tài liệu, chứng cứ: tệp </w:t>
      </w:r>
      <w:r>
        <w:rPr>
          <w:rFonts w:ascii="Times New Roman" w:cs="Times New Roman" w:eastAsia="Times New Roman" w:hAnsi="Times New Roman"/>
          <w:i/>
          <w:iCs/>
          <w:sz w:val="26"/>
          <w:szCs w:val="26"/>
        </w:rPr>
        <w:t xml:space="preserve">Mau_17_TTLT09_Bien_ban_giao_nhan_tai_lieu_chung_cu.docx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18/DSCI – Quyết định ủy thác kiểm tra, xác minh, thu thập tài liệu, chứng cứ: tệp </w:t>
      </w:r>
      <w:r>
        <w:rPr>
          <w:rFonts w:ascii="Times New Roman" w:cs="Times New Roman" w:eastAsia="Times New Roman" w:hAnsi="Times New Roman"/>
          <w:i/>
          <w:iCs/>
          <w:sz w:val="26"/>
          <w:szCs w:val="26"/>
        </w:rPr>
        <w:t xml:space="preserve">Mau_18_TTLT09_QD_uy_thac_kiem_tra_xac_minh.docx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01/HD-DSCI – Quyết định phân công kiểm sát viên xác minh, thu thập tài liệu, chứng cứ: tệp </w:t>
      </w:r>
      <w:r>
        <w:rPr>
          <w:rFonts w:ascii="Times New Roman" w:cs="Times New Roman" w:eastAsia="Times New Roman" w:hAnsi="Times New Roman"/>
          <w:i/>
          <w:iCs/>
          <w:sz w:val="26"/>
          <w:szCs w:val="26"/>
        </w:rPr>
        <w:t xml:space="preserve">Mau_01_HD42_QD_phan_cong_KSV_xac_minh.docx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02/HD-DSCI – Quyết định thay đổi kiểm sát viên xác minh, thu thập tài liệu, chứng cứ: tệp </w:t>
      </w:r>
      <w:r>
        <w:rPr>
          <w:rFonts w:ascii="Times New Roman" w:cs="Times New Roman" w:eastAsia="Times New Roman" w:hAnsi="Times New Roman"/>
          <w:i/>
          <w:iCs/>
          <w:sz w:val="26"/>
          <w:szCs w:val="26"/>
        </w:rPr>
        <w:t xml:space="preserve">Mau_02_HD42_QD_thay_doi_KSV_xac_minh.docx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03/HD-DSCI – Quyết định thành lập tổ công tác xác minh, thu thập tài liệu, chứng cứ: tệp </w:t>
      </w:r>
      <w:r>
        <w:rPr>
          <w:rFonts w:ascii="Times New Roman" w:cs="Times New Roman" w:eastAsia="Times New Roman" w:hAnsi="Times New Roman"/>
          <w:i/>
          <w:iCs/>
          <w:sz w:val="26"/>
          <w:szCs w:val="26"/>
        </w:rPr>
        <w:t xml:space="preserve">Mau_03_HD42_QD_thanh_lap_To_cong_tac_xac_minh.docx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04/HD-DSCI – Quyết định phân công viện kiểm sát xác minh, thu thập tài liệu, chứng cứ: tệp </w:t>
      </w:r>
      <w:r>
        <w:rPr>
          <w:rFonts w:ascii="Times New Roman" w:cs="Times New Roman" w:eastAsia="Times New Roman" w:hAnsi="Times New Roman"/>
          <w:i/>
          <w:iCs/>
          <w:sz w:val="26"/>
          <w:szCs w:val="26"/>
        </w:rPr>
        <w:t xml:space="preserve">Mau_04_HD42_QD_phan_cong_VKS_xac_minh.docx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05/HD-DSCI – Kế hoạch xác minh, thu thập tài liệu, chứng cứ: tệp </w:t>
      </w:r>
      <w:r>
        <w:rPr>
          <w:rFonts w:ascii="Times New Roman" w:cs="Times New Roman" w:eastAsia="Times New Roman" w:hAnsi="Times New Roman"/>
          <w:i/>
          <w:iCs/>
          <w:sz w:val="26"/>
          <w:szCs w:val="26"/>
        </w:rPr>
        <w:t xml:space="preserve">Mau_05_HD42_Ke_hoach_xac_minh_thu_thap_tai_lieu.docx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06/HD-DSCI – Kế hoạch lấy lời khai: tệp </w:t>
      </w:r>
      <w:r>
        <w:rPr>
          <w:rFonts w:ascii="Times New Roman" w:cs="Times New Roman" w:eastAsia="Times New Roman" w:hAnsi="Times New Roman"/>
          <w:i/>
          <w:iCs/>
          <w:sz w:val="26"/>
          <w:szCs w:val="26"/>
        </w:rPr>
        <w:t xml:space="preserve">Mau_06_HD42_Ke_hoach_lay_loi_khai.docx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07/HD-DSCI – Kế hoạch đối chất: tệp </w:t>
      </w:r>
      <w:r>
        <w:rPr>
          <w:rFonts w:ascii="Times New Roman" w:cs="Times New Roman" w:eastAsia="Times New Roman" w:hAnsi="Times New Roman"/>
          <w:i/>
          <w:iCs/>
          <w:sz w:val="26"/>
          <w:szCs w:val="26"/>
        </w:rPr>
        <w:t xml:space="preserve">Mau_07_HD42_Ke_hoach_doi_chat.docx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08/HD-DSCI – Kế hoạch xem xét, thẩm định tại chỗ: tệp </w:t>
      </w:r>
      <w:r>
        <w:rPr>
          <w:rFonts w:ascii="Times New Roman" w:cs="Times New Roman" w:eastAsia="Times New Roman" w:hAnsi="Times New Roman"/>
          <w:i/>
          <w:iCs/>
          <w:sz w:val="26"/>
          <w:szCs w:val="26"/>
        </w:rPr>
        <w:t xml:space="preserve">Mau_08_HD42_Ke_hoach_xem_xet_tham_dinh_tai_cho.docx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09/HD-DSCI – Kế hoạch kiểm tra, đánh giá hiện trường: tệp </w:t>
      </w:r>
      <w:r>
        <w:rPr>
          <w:rFonts w:ascii="Times New Roman" w:cs="Times New Roman" w:eastAsia="Times New Roman" w:hAnsi="Times New Roman"/>
          <w:i/>
          <w:iCs/>
          <w:sz w:val="26"/>
          <w:szCs w:val="26"/>
        </w:rPr>
        <w:t xml:space="preserve">Mau_09_HD42_Ke_hoach_kiem_tra_danh_gia_hien_truong.docx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13/HD-DSCI – Giấy mời: tệp </w:t>
      </w:r>
      <w:r>
        <w:rPr>
          <w:rFonts w:ascii="Times New Roman" w:cs="Times New Roman" w:eastAsia="Times New Roman" w:hAnsi="Times New Roman"/>
          <w:i/>
          <w:iCs/>
          <w:sz w:val="26"/>
          <w:szCs w:val="26"/>
        </w:rPr>
        <w:t xml:space="preserve">Mau_13_HD42_Giay_moi.docx</w:t>
      </w:r>
    </w:p>
    <w:p>
      <w:pPr>
        <w:pStyle w:val="Heading2"/>
        <w:keepNext/>
        <w:spacing w:after="80" w:before="200"/>
      </w:pPr>
      <w:r>
        <w:rPr>
          <w:rFonts w:ascii="Times New Roman" w:cs="Times New Roman" w:eastAsia="Times New Roman" w:hAnsi="Times New Roman"/>
          <w:b/>
          <w:bCs/>
          <w:sz w:val="26"/>
          <w:szCs w:val="26"/>
        </w:rPr>
        <w:t xml:space="preserve">BƯỚC 4. YÊU CẦU CHẤM DỨT VI PHẠM; ĐÌNH CHỈ, CHẤM DỨT, PHỤC HỒI</w:t>
      </w:r>
    </w:p>
    <w:p>
      <w:pPr>
        <w:spacing w:after="80" w:line="300"/>
        <w:ind w:firstLine="567"/>
        <w:jc w:val="both"/>
      </w:pPr>
      <w:r>
        <w:rPr>
          <w:rFonts w:ascii="Times New Roman" w:cs="Times New Roman" w:eastAsia="Times New Roman" w:hAnsi="Times New Roman"/>
          <w:sz w:val="26"/>
          <w:szCs w:val="26"/>
        </w:rPr>
        <w:t xml:space="preserve">Quyết định yêu cầu chấm dứt vi phạm được ban hành ngay khi xác định được người vi phạm, chạy song song với Bước 3. Bên vi phạm phải trả lời trong 15 ngày (Điều 18 TTLT 09).</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83"/>
        <w:gridCol w:w="3667"/>
        <w:gridCol w:w="1544"/>
        <w:gridCol w:w="1641"/>
        <w:gridCol w:w="1736"/>
      </w:tblGrid>
      <w:tr>
        <w:trPr>
          <w:cantSplit/>
          <w:tblHeader/>
        </w:trPr>
        <w:tc>
          <w:tcPr>
            <w:tcW w:type="dxa" w:w="48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TT</w:t>
            </w:r>
          </w:p>
        </w:tc>
        <w:tc>
          <w:tcPr>
            <w:tcW w:type="dxa" w:w="366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Công việc</w:t>
            </w:r>
          </w:p>
        </w:tc>
        <w:tc>
          <w:tcPr>
            <w:tcW w:type="dxa" w:w="15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Thời hạn</w:t>
            </w:r>
          </w:p>
        </w:tc>
        <w:tc>
          <w:tcPr>
            <w:tcW w:type="dxa" w:w="164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Căn cứ</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Mẫu văn bản</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Ban hành Quyết định yêu cầu chấm dứt hành vi vi phạm, áp dụng biện pháp ngăn chặn, khắc phục hậu quả; gửi ngay cho bên vi phạm (có thể kèm tài liệu).</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 khi xác định người vi phạm; bên vi phạm trả lời trong 15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1 Điều 13 NQ 205; Điều 18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19/DSCI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Làm việc với các bên; theo dõi, kiểm tra việc khắc phục (mỗi lần kiểm tra lập biên bản).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B.II.7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10/DSCI; Mẫu 10/HD-DSCI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Không trả lời, từ chối, thực hiện không đầy đủ → chuyển sang Bước 5 (thông báo hoặc kiến nghị khởi kiện).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Hết 15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3 Điều 18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Đình chỉ kiểm tra, xác minh (5 trường hợp tại khoản 1 Điều 12 NQ 205; “đã có người khởi kiện” chỉ khi Tòa án đã thụ lý).</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Đề xuất 03 ngày làm việc; gửi QĐ 03 ngày làm việc</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12 NQ 205; Điều 17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 Mẫu 20/DSCI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4.5</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Phục hồi khi việc đề nghị không khởi kiện do bị lừa dối, đe dọa, cưỡng ép, nhầm lẫn.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Đề xuất 03 ngày làm việc; gửi QĐ 03 ngày làm việc</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3 Điều 12 NQ 205; khoản 6 Điều 17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 Mẫu 22/DSCI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4.6</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Chấm dứt khi người được bảo vệ chết hoặc lợi ích công không còn tồn tại.</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Đề xuất 03 ngày làm việc</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5 Điều 17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 Mẫu 21/DSCI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4.7</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Thụ lý lại (vụ việc mới) khi người khởi kiện rút đơn mà lợi ích chưa được bảo vệ.</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Đề xuất 05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3 Điều 17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 Mẫu 15/HD-DSCI</w:t>
            </w:r>
          </w:p>
        </w:tc>
      </w:tr>
    </w:tbl>
    <w:p>
      <w:pPr>
        <w:keepNext/>
        <w:spacing w:after="60" w:before="120"/>
      </w:pPr>
      <w:r>
        <w:rPr>
          <w:rFonts w:ascii="Times New Roman" w:cs="Times New Roman" w:eastAsia="Times New Roman" w:hAnsi="Times New Roman"/>
          <w:b/>
          <w:bCs/>
          <w:sz w:val="26"/>
          <w:szCs w:val="26"/>
        </w:rPr>
        <w:t xml:space="preserve">Mẫu văn bản kèm theo (thư mục B4_Cham_dut_vi_pham_Dinh_chi_Phuc_hoi):</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19/DSCI – Quyết định yêu cầu chấm dứt hành vi vi phạm, áp dụng biện pháp để ngăn chặn, khắc phục hậu quả: tệp </w:t>
      </w:r>
      <w:r>
        <w:rPr>
          <w:rFonts w:ascii="Times New Roman" w:cs="Times New Roman" w:eastAsia="Times New Roman" w:hAnsi="Times New Roman"/>
          <w:i/>
          <w:iCs/>
          <w:sz w:val="26"/>
          <w:szCs w:val="26"/>
        </w:rPr>
        <w:t xml:space="preserve">Mau_19_TTLT09_QD_yeu_cau_cham_dut_hanh_vi_vi_pham.docx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20/DSCI – Quyết định đình chỉ việc kiểm tra, xác minh: tệp </w:t>
      </w:r>
      <w:r>
        <w:rPr>
          <w:rFonts w:ascii="Times New Roman" w:cs="Times New Roman" w:eastAsia="Times New Roman" w:hAnsi="Times New Roman"/>
          <w:i/>
          <w:iCs/>
          <w:sz w:val="26"/>
          <w:szCs w:val="26"/>
        </w:rPr>
        <w:t xml:space="preserve">Mau_20_TTLT09_QD_dinh_chi_viec_kiem_tra_xac_minh.docx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21/DSCI – Quyết định chấm dứt việc kiểm tra, xác minh: tệp </w:t>
      </w:r>
      <w:r>
        <w:rPr>
          <w:rFonts w:ascii="Times New Roman" w:cs="Times New Roman" w:eastAsia="Times New Roman" w:hAnsi="Times New Roman"/>
          <w:i/>
          <w:iCs/>
          <w:sz w:val="26"/>
          <w:szCs w:val="26"/>
        </w:rPr>
        <w:t xml:space="preserve">Mau_21_TTLT09_QD_cham_dut_viec_kiem_tra_xac_minh.docx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22/DSCI – Quyết định phục hồi việc kiểm tra, xác minh: tệp </w:t>
      </w:r>
      <w:r>
        <w:rPr>
          <w:rFonts w:ascii="Times New Roman" w:cs="Times New Roman" w:eastAsia="Times New Roman" w:hAnsi="Times New Roman"/>
          <w:i/>
          <w:iCs/>
          <w:sz w:val="26"/>
          <w:szCs w:val="26"/>
        </w:rPr>
        <w:t xml:space="preserve">Mau_22_TTLT09_QD_phuc_hoi_viec_kiem_tra_xac_minh.docx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10/HD-DSCI – Biên bản kiểm tra việc chấm dứt hành vi vi phạm, khắc phục hậu quả: tệp </w:t>
      </w:r>
      <w:r>
        <w:rPr>
          <w:rFonts w:ascii="Times New Roman" w:cs="Times New Roman" w:eastAsia="Times New Roman" w:hAnsi="Times New Roman"/>
          <w:i/>
          <w:iCs/>
          <w:sz w:val="26"/>
          <w:szCs w:val="26"/>
        </w:rPr>
        <w:t xml:space="preserve">Mau_10_HD42_Bien_ban_kiem_tra_viec_cham_dut_vi_pham.docx</w:t>
      </w:r>
    </w:p>
    <w:p>
      <w:pPr>
        <w:pStyle w:val="Heading2"/>
        <w:keepNext/>
        <w:spacing w:after="80" w:before="200"/>
      </w:pPr>
      <w:r>
        <w:rPr>
          <w:rFonts w:ascii="Times New Roman" w:cs="Times New Roman" w:eastAsia="Times New Roman" w:hAnsi="Times New Roman"/>
          <w:b/>
          <w:bCs/>
          <w:sz w:val="26"/>
          <w:szCs w:val="26"/>
        </w:rPr>
        <w:t xml:space="preserve">BƯỚC 5. THÔNG BÁO, KIẾN NGHỊ VÀ HỖ TRỢ KHỞI KIỆN</w:t>
      </w:r>
    </w:p>
    <w:p>
      <w:pPr>
        <w:spacing w:after="80" w:line="300"/>
        <w:ind w:firstLine="567"/>
        <w:jc w:val="both"/>
      </w:pPr>
      <w:r>
        <w:rPr>
          <w:rFonts w:ascii="Times New Roman" w:cs="Times New Roman" w:eastAsia="Times New Roman" w:hAnsi="Times New Roman"/>
          <w:sz w:val="26"/>
          <w:szCs w:val="26"/>
        </w:rPr>
        <w:t xml:space="preserve">VKS chỉ được khởi kiện sau khi chủ thể đã nhận thông báo hoặc kiến nghị và hết 30 ngày mà không ai khởi kiện (khoản 2, 3 Điều 13 NQ 205; khoản 2 Điều 3 TTLT 09).</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83"/>
        <w:gridCol w:w="3667"/>
        <w:gridCol w:w="1544"/>
        <w:gridCol w:w="1641"/>
        <w:gridCol w:w="1736"/>
      </w:tblGrid>
      <w:tr>
        <w:trPr>
          <w:cantSplit/>
          <w:tblHeader/>
        </w:trPr>
        <w:tc>
          <w:tcPr>
            <w:tcW w:type="dxa" w:w="48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TT</w:t>
            </w:r>
          </w:p>
        </w:tc>
        <w:tc>
          <w:tcPr>
            <w:tcW w:type="dxa" w:w="366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Công việc</w:t>
            </w:r>
          </w:p>
        </w:tc>
        <w:tc>
          <w:tcPr>
            <w:tcW w:type="dxa" w:w="15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Thời hạn</w:t>
            </w:r>
          </w:p>
        </w:tc>
        <w:tc>
          <w:tcPr>
            <w:tcW w:type="dxa" w:w="164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Căn cứ</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Mẫu văn bản</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5.1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Nhóm dễ bị tổn thương: Thông báo khởi kiện cho người bị xâm phạm hoặc người đại diện hợp pháp.</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Ban hành trong 30 ngày kể từ có kết quả xác minh; trả lời trong 30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Điểm a khoản 2 Điều 13 NQ 205; Điều 19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 Mẫu 23/DSCI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5.2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Xử lý kết quả thông báo: không trả lời → kiến nghị cơ quan quản lý; sẽ tự khởi kiện / đề nghị không khởi kiện → đình chỉ; không thể tự khởi kiện và có văn bản đề nghị VKS → sang Bước 6.</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Hết 30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2, 3 Điều 19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24/DSCI; Mẫu 20/DSCI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5.3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Lợi ích công (hoặc 5.2 không trả lời; hoặc bên vi phạm không chấp hành): Kiến nghị khởi kiện cơ quan, tổ chức quản lý ngành, lĩnh vực; đồng gửi cấp trên trực tiếp.</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Trả lời trong 30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Điểm b khoản 2 Điều 13 NQ 205; Điều 20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11/HD-DSCI; Mẫu 24/DSCI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5.4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Xử lý kết quả kiến nghị: đồng ý khởi kiện → đình chỉ (sau khi Tòa thụ lý); đề nghị biện pháp xử lý khác → theo dõi; không trả lời/từ chối → sang Bước 6; thông báo cấp trên của cơ quan không khởi kiện (trả lời 30 ngày).</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Hết 30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2–5 Điều 20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20/DSCI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5.5</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Hỗ trợ khởi kiện theo đề nghị: cung cấp tài liệu; hỗ trợ thu thập chứng cứ; hướng dẫn tố tụng; cho ý kiến. Không hỗ trợ/chấm dứt hỗ trợ phải nêu lý do.</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Trả lời 03 ngày làm việc; kết quả 30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21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25/DSCI; Mẫu 11/HD-DSCI; Mẫu 26/DSCI</w:t>
            </w:r>
          </w:p>
        </w:tc>
      </w:tr>
    </w:tbl>
    <w:p>
      <w:pPr>
        <w:keepNext/>
        <w:spacing w:after="60" w:before="120"/>
      </w:pPr>
      <w:r>
        <w:rPr>
          <w:rFonts w:ascii="Times New Roman" w:cs="Times New Roman" w:eastAsia="Times New Roman" w:hAnsi="Times New Roman"/>
          <w:b/>
          <w:bCs/>
          <w:sz w:val="26"/>
          <w:szCs w:val="26"/>
        </w:rPr>
        <w:t xml:space="preserve">Mẫu văn bản kèm theo (thư mục B5_Thong_bao_Kien_nghi_Ho_tro_khoi_kien):</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23/DSCI – Thông báo khởi kiện: tệp </w:t>
      </w:r>
      <w:r>
        <w:rPr>
          <w:rFonts w:ascii="Times New Roman" w:cs="Times New Roman" w:eastAsia="Times New Roman" w:hAnsi="Times New Roman"/>
          <w:i/>
          <w:iCs/>
          <w:sz w:val="26"/>
          <w:szCs w:val="26"/>
        </w:rPr>
        <w:t xml:space="preserve">Mau_23_TTLT09_Thong_bao_khoi_kien.docx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24/DSCI – Kiến nghị khởi kiện: tệp </w:t>
      </w:r>
      <w:r>
        <w:rPr>
          <w:rFonts w:ascii="Times New Roman" w:cs="Times New Roman" w:eastAsia="Times New Roman" w:hAnsi="Times New Roman"/>
          <w:i/>
          <w:iCs/>
          <w:sz w:val="26"/>
          <w:szCs w:val="26"/>
        </w:rPr>
        <w:t xml:space="preserve">Mau_24_TTLT09_Kien_nghi_khoi_kien.docx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25/DSCI – : tệp </w:t>
      </w:r>
      <w:r>
        <w:rPr>
          <w:rFonts w:ascii="Times New Roman" w:cs="Times New Roman" w:eastAsia="Times New Roman" w:hAnsi="Times New Roman"/>
          <w:i/>
          <w:iCs/>
          <w:sz w:val="26"/>
          <w:szCs w:val="26"/>
        </w:rPr>
        <w:t xml:space="preserve">Mau_25_TTLT09_Cong_van_de_nghi_ho_tro_khoi_kien.docx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26/DSCI – : tệp </w:t>
      </w:r>
      <w:r>
        <w:rPr>
          <w:rFonts w:ascii="Times New Roman" w:cs="Times New Roman" w:eastAsia="Times New Roman" w:hAnsi="Times New Roman"/>
          <w:i/>
          <w:iCs/>
          <w:sz w:val="26"/>
          <w:szCs w:val="26"/>
        </w:rPr>
        <w:t xml:space="preserve">Mau_26_TTLT09_Cong_van_tra_loi_de_nghi_ho_tro_khoi_kien.docx</w:t>
      </w:r>
    </w:p>
    <w:p>
      <w:pPr>
        <w:pStyle w:val="Heading2"/>
        <w:keepNext/>
        <w:spacing w:after="80" w:before="200"/>
      </w:pPr>
      <w:r>
        <w:rPr>
          <w:rFonts w:ascii="Times New Roman" w:cs="Times New Roman" w:eastAsia="Times New Roman" w:hAnsi="Times New Roman"/>
          <w:b/>
          <w:bCs/>
          <w:sz w:val="26"/>
          <w:szCs w:val="26"/>
        </w:rPr>
        <w:t xml:space="preserve">BƯỚC 6. KHỞI KIỆN, BIỆN PHÁP KHẨN CẤP TẠM THỜI</w:t>
      </w:r>
    </w:p>
    <w:p>
      <w:pPr>
        <w:spacing w:after="80" w:line="300"/>
        <w:ind w:firstLine="567"/>
        <w:jc w:val="both"/>
      </w:pPr>
      <w:r>
        <w:rPr>
          <w:rFonts w:ascii="Times New Roman" w:cs="Times New Roman" w:eastAsia="Times New Roman" w:hAnsi="Times New Roman"/>
          <w:sz w:val="26"/>
          <w:szCs w:val="26"/>
        </w:rPr>
        <w:t xml:space="preserve">Quyết định khởi kiện ban hành trong 02 tháng kể từ hết hạn 30 ngày chờ trả lời; gửi Tòa án trong 05 ngày làm việc. VKS không nộp tạm ứng án phí, không chịu án phí (Điều 14 NQ 205; Điều 22 TTLT 09).</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83"/>
        <w:gridCol w:w="3667"/>
        <w:gridCol w:w="1544"/>
        <w:gridCol w:w="1641"/>
        <w:gridCol w:w="1736"/>
      </w:tblGrid>
      <w:tr>
        <w:trPr>
          <w:cantSplit/>
          <w:tblHeader/>
        </w:trPr>
        <w:tc>
          <w:tcPr>
            <w:tcW w:type="dxa" w:w="48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TT</w:t>
            </w:r>
          </w:p>
        </w:tc>
        <w:tc>
          <w:tcPr>
            <w:tcW w:type="dxa" w:w="366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Công việc</w:t>
            </w:r>
          </w:p>
        </w:tc>
        <w:tc>
          <w:tcPr>
            <w:tcW w:type="dxa" w:w="15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Thời hạn</w:t>
            </w:r>
          </w:p>
        </w:tc>
        <w:tc>
          <w:tcPr>
            <w:tcW w:type="dxa" w:w="164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Căn cứ</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Mẫu văn bản</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6.1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kiện: nhóm dễ bị tổn thương – người bị xâm phạm không thể tự khởi kiện và có văn bản đề nghị VKS (trừ trường hợp bị lừa dối, đe dọa, cưỡng ép, nhầm lẫn); lợi ích công – cơ quan không trả lời hoặc từ chối không có lý do chính đáng.</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1 Điều 14 NQ 205</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6.2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Lập Báo cáo đề xuất khởi kiện kèm dự thảo Quyết định khởi kiện; Phó Viện trưởng và Viện trưởng cho ý kiến; Viện trưởng ký.</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Trong 02 tháng</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B.IV.2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12/HD-DSCI; Mẫu 27/DSCI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6.3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VKSND Thành phố phân công VKS khu vực khởi kiện (gửi kèm hồ sơ).</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15 ngày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2 Điều 22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28/DSCI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6.4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Gửi Quyết định khởi kiện + tài liệu cho Tòa án khu vực có thẩm quyền; gửi bản sao cho bị đơn (kèm tài liệu), người được bảo vệ, cơ quan đã được kiến nghị, VKS cấp trên.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05 ngày làm việc</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3 Điều 14 NQ 205; khoản 4 Điều 22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27/DSCI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6.5</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Yêu cầu Tòa án áp dụng, thay đổi, hủy bỏ biện pháp khẩn cấp tạm thời (không phải thực hiện biện pháp bảo đảm).</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Tòa án quyết định trong 03 ngày làm việc</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23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29/DSCI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6.6</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Theo dõi thụ lý: Tòa án thụ lý, báo không thuộc thẩm quyền hoặc yêu cầu bổ sung. Tranh chấp thẩm quyền → báo cáo Viện trưởng VKSND Thành phố (ý kiến trong 15 ngày).</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Tòa án: 05 ngày làm việc</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24, 25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bl>
    <w:p>
      <w:pPr>
        <w:keepNext/>
        <w:spacing w:after="60" w:before="120"/>
      </w:pPr>
      <w:r>
        <w:rPr>
          <w:rFonts w:ascii="Times New Roman" w:cs="Times New Roman" w:eastAsia="Times New Roman" w:hAnsi="Times New Roman"/>
          <w:b/>
          <w:bCs/>
          <w:sz w:val="26"/>
          <w:szCs w:val="26"/>
        </w:rPr>
        <w:t xml:space="preserve">Mẫu văn bản kèm theo (thư mục B6_Khoi_kien):</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27/DSCI – Quyết định khởi kiện vụ án dân sự công ích: tệp </w:t>
      </w:r>
      <w:r>
        <w:rPr>
          <w:rFonts w:ascii="Times New Roman" w:cs="Times New Roman" w:eastAsia="Times New Roman" w:hAnsi="Times New Roman"/>
          <w:i/>
          <w:iCs/>
          <w:sz w:val="26"/>
          <w:szCs w:val="26"/>
        </w:rPr>
        <w:t xml:space="preserve">Mau_27_TTLT09_QD_khoi_kien_vu_an_dan_su_cong_ich.docx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28/DSCI – Quyết định phân công viện kiểm sát khởi kiện vụ án dân sự công ích: tệp </w:t>
      </w:r>
      <w:r>
        <w:rPr>
          <w:rFonts w:ascii="Times New Roman" w:cs="Times New Roman" w:eastAsia="Times New Roman" w:hAnsi="Times New Roman"/>
          <w:i/>
          <w:iCs/>
          <w:sz w:val="26"/>
          <w:szCs w:val="26"/>
        </w:rPr>
        <w:t xml:space="preserve">Mau_28_TTLT09_QD_phan_cong_VKS_khoi_kien.docx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29/DSCI – Quyết định yêu cầu tòa án áp dụng (thay đổi, hủy bỏ) biện pháp khẩn cấp tạm thời: tệp </w:t>
      </w:r>
      <w:r>
        <w:rPr>
          <w:rFonts w:ascii="Times New Roman" w:cs="Times New Roman" w:eastAsia="Times New Roman" w:hAnsi="Times New Roman"/>
          <w:i/>
          <w:iCs/>
          <w:sz w:val="26"/>
          <w:szCs w:val="26"/>
        </w:rPr>
        <w:t xml:space="preserve">Mau_29_TTLT09_QD_yeu_cau_Toa_an_ap_dung_BPKCTT.docx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12/HD-DSCI – Báo cáo đề xuất: tệp </w:t>
      </w:r>
      <w:r>
        <w:rPr>
          <w:rFonts w:ascii="Times New Roman" w:cs="Times New Roman" w:eastAsia="Times New Roman" w:hAnsi="Times New Roman"/>
          <w:i/>
          <w:iCs/>
          <w:sz w:val="26"/>
          <w:szCs w:val="26"/>
        </w:rPr>
        <w:t xml:space="preserve">Mau_12_HD42_Bao_cao_de_xuat_khoi_kien.docx</w:t>
      </w:r>
    </w:p>
    <w:p>
      <w:pPr>
        <w:pStyle w:val="Heading2"/>
        <w:keepNext/>
        <w:spacing w:after="80" w:before="200"/>
      </w:pPr>
      <w:r>
        <w:rPr>
          <w:rFonts w:ascii="Times New Roman" w:cs="Times New Roman" w:eastAsia="Times New Roman" w:hAnsi="Times New Roman"/>
          <w:b/>
          <w:bCs/>
          <w:sz w:val="26"/>
          <w:szCs w:val="26"/>
        </w:rPr>
        <w:t xml:space="preserve">BƯỚC 7. THAM GIA PHIÊN TÒA SƠ THẨM</w:t>
      </w:r>
    </w:p>
    <w:p>
      <w:pPr>
        <w:spacing w:after="80" w:line="300"/>
        <w:ind w:firstLine="567"/>
        <w:jc w:val="both"/>
      </w:pPr>
      <w:r>
        <w:rPr>
          <w:rFonts w:ascii="Times New Roman" w:cs="Times New Roman" w:eastAsia="Times New Roman" w:hAnsi="Times New Roman"/>
          <w:sz w:val="26"/>
          <w:szCs w:val="26"/>
        </w:rPr>
        <w:t xml:space="preserve">Kiểm sát viên vừa thực hiện quyền của người khởi kiện, vừa kiểm sát việc tuân theo pháp luật; vắng mặt thì Hội đồng xét xử phải hoãn phiên tòa (Điều 16 NQ 205).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83"/>
        <w:gridCol w:w="3667"/>
        <w:gridCol w:w="1544"/>
        <w:gridCol w:w="1641"/>
        <w:gridCol w:w="1736"/>
      </w:tblGrid>
      <w:tr>
        <w:trPr>
          <w:cantSplit/>
          <w:tblHeader/>
        </w:trPr>
        <w:tc>
          <w:tcPr>
            <w:tcW w:type="dxa" w:w="483"/>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TT</w:t>
            </w:r>
          </w:p>
        </w:tc>
        <w:tc>
          <w:tcPr>
            <w:tcW w:type="dxa" w:w="3667"/>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Công việc</w:t>
            </w:r>
          </w:p>
        </w:tc>
        <w:tc>
          <w:tcPr>
            <w:tcW w:type="dxa" w:w="1544"/>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Thời hạn</w:t>
            </w:r>
          </w:p>
        </w:tc>
        <w:tc>
          <w:tcPr>
            <w:tcW w:type="dxa" w:w="1641"/>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Căn cứ</w:t>
            </w:r>
          </w:p>
        </w:tc>
        <w:tc>
          <w:tcPr>
            <w:tcW w:type="dxa" w:w="1736"/>
            <w:tcBorders>
              <w:top w:val="single" w:color="808080" w:sz="4"/>
              <w:left w:val="single" w:color="808080" w:sz="4"/>
              <w:bottom w:val="single" w:color="808080" w:sz="4"/>
              <w:right w:val="single" w:color="808080" w:sz="4"/>
            </w:tcBorders>
            <w:shd w:fill="D9E2F3" w:color="auto" w:val="clear"/>
            <w:tcMar>
              <w:top w:type="dxa" w:w="40"/>
              <w:left w:type="dxa" w:w="80"/>
              <w:bottom w:type="dxa" w:w="40"/>
              <w:right w:type="dxa" w:w="80"/>
            </w:tcMar>
          </w:tcPr>
          <w:p>
            <w:pPr>
              <w:spacing w:after="20"/>
              <w:jc w:val="center"/>
            </w:pPr>
            <w:r>
              <w:rPr>
                <w:rFonts w:ascii="Times New Roman" w:cs="Times New Roman" w:eastAsia="Times New Roman" w:hAnsi="Times New Roman"/>
                <w:b/>
                <w:bCs/>
                <w:sz w:val="22"/>
                <w:szCs w:val="22"/>
              </w:rPr>
              <w:t xml:space="preserve">Mẫu văn bản</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7.1</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Quyết định phân công Kiểm sát viên (và dự khuyết) tham gia phiên tòa; gửi Tòa án.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05 ngày kể từ nhận thông báo thụ lý</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Điều 26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30/DSCI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7.2</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Thay đổi Kiểm sát viên tham gia phiên tòa; gửi ngay cho Tòa án.</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Ngay</w:t>
            </w: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3 Điều 26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31/DSCI</w:t>
            </w: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7.3</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Tại phiên tòa: công bố Quyết định khởi kiện; trình bày chứng cứ; tranh tụng. VKS không được tự thỏa thuận với bị đơn, trừ khi bị đơn chấp nhận toàn bộ yêu cầu.</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Khoản 2 Điều 16 NQ 205; khoản 5 Điều 22 TTLT 09</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r>
      <w:tr>
        <w:trPr>
          <w:cantSplit/>
          <w:tblHeader w:val="false"/>
        </w:trPr>
        <w:tc>
          <w:tcPr>
            <w:tcW w:type="dxa" w:w="483"/>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7.4</w:t>
            </w:r>
          </w:p>
        </w:tc>
        <w:tc>
          <w:tcPr>
            <w:tcW w:type="dxa" w:w="3667"/>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Thay đổi, rút một phần hoặc toàn bộ yêu cầu khởi kiện: báo cáo lãnh đạo; không kịp thì đề nghị tạm ngừng phiên tòa (điểm c khoản 1 Điều 259 BLTTDS).</w:t>
            </w:r>
          </w:p>
        </w:tc>
        <w:tc>
          <w:tcPr>
            <w:tcW w:type="dxa" w:w="1544"/>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p>
        </w:tc>
        <w:tc>
          <w:tcPr>
            <w:tcW w:type="dxa" w:w="1641"/>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Mục B.IV.5 HD 42</w:t>
            </w:r>
          </w:p>
        </w:tc>
        <w:tc>
          <w:tcPr>
            <w:tcW w:type="dxa" w:w="1736"/>
            <w:tcBorders>
              <w:top w:val="single" w:color="808080" w:sz="4"/>
              <w:left w:val="single" w:color="808080" w:sz="4"/>
              <w:bottom w:val="single" w:color="808080" w:sz="4"/>
              <w:right w:val="single" w:color="808080" w:sz="4"/>
            </w:tcBorders>
            <w:tcMar>
              <w:top w:type="dxa" w:w="40"/>
              <w:left w:type="dxa" w:w="80"/>
              <w:bottom w:type="dxa" w:w="40"/>
              <w:right w:type="dxa" w:w="80"/>
            </w:tcMar>
          </w:tcPr>
          <w:p>
            <w:pPr>
              <w:spacing w:after="20"/>
              <w:jc w:val="left"/>
            </w:pPr>
            <w:r>
              <w:rPr>
                <w:rFonts w:ascii="Times New Roman" w:cs="Times New Roman" w:eastAsia="Times New Roman" w:hAnsi="Times New Roman"/>
                <w:sz w:val="22"/>
                <w:szCs w:val="22"/>
              </w:rPr>
              <w:t xml:space="preserve">Mẫu 32/DSCI</w:t>
            </w:r>
          </w:p>
        </w:tc>
      </w:tr>
    </w:tbl>
    <w:p>
      <w:pPr>
        <w:keepNext/>
        <w:spacing w:after="60" w:before="120"/>
      </w:pPr>
      <w:r>
        <w:rPr>
          <w:rFonts w:ascii="Times New Roman" w:cs="Times New Roman" w:eastAsia="Times New Roman" w:hAnsi="Times New Roman"/>
          <w:b/>
          <w:bCs/>
          <w:sz w:val="26"/>
          <w:szCs w:val="26"/>
        </w:rPr>
        <w:t xml:space="preserve">Mẫu văn bản kèm theo (thư mục B7_Phien_toa_so_tham):</w:t>
      </w:r>
    </w:p>
    <w:p>
      <w:pPr>
        <w:pStyle w:val="ListParagraph"/>
        <w:numPr>
          <w:ilvl w:val="0"/>
          <w:numId w:val="2"/>
        </w:numPr>
        <w:spacing w:after="40" w:line="290"/>
        <w:jc w:val="left"/>
      </w:pPr>
      <w:r>
        <w:rPr>
          <w:rFonts w:ascii="Times New Roman" w:cs="Times New Roman" w:eastAsia="Times New Roman" w:hAnsi="Times New Roman"/>
          <w:sz w:val="26"/>
          <w:szCs w:val="26"/>
        </w:rPr>
        <w:t xml:space="preserve">30/DSCI – Quyết định phân công kiểm sát viên tham gia phiên tòa: tệp </w:t>
      </w:r>
      <w:r>
        <w:rPr>
          <w:rFonts w:ascii="Times New Roman" w:cs="Times New Roman" w:eastAsia="Times New Roman" w:hAnsi="Times New Roman"/>
          <w:i/>
          <w:iCs/>
          <w:sz w:val="26"/>
          <w:szCs w:val="26"/>
        </w:rPr>
        <w:t xml:space="preserve">Mau_30_TTLT09_QD_phan_cong_KSV_tham_gia_phien_toa.docx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31/DSCI – Quyết định thay đổi kiểm sát viên tham gia phiên tòa: tệp </w:t>
      </w:r>
      <w:r>
        <w:rPr>
          <w:rFonts w:ascii="Times New Roman" w:cs="Times New Roman" w:eastAsia="Times New Roman" w:hAnsi="Times New Roman"/>
          <w:i/>
          <w:iCs/>
          <w:sz w:val="26"/>
          <w:szCs w:val="26"/>
        </w:rPr>
        <w:t xml:space="preserve">Mau_31_TTLT09_QD_thay_doi_KSV_tham_gia_phien_toa.docx</w:t>
      </w:r>
    </w:p>
    <w:p>
      <w:pPr>
        <w:pStyle w:val="ListParagraph"/>
        <w:numPr>
          <w:ilvl w:val="0"/>
          <w:numId w:val="2"/>
        </w:numPr>
        <w:spacing w:after="40" w:line="290"/>
        <w:jc w:val="left"/>
      </w:pPr>
      <w:r>
        <w:rPr>
          <w:rFonts w:ascii="Times New Roman" w:cs="Times New Roman" w:eastAsia="Times New Roman" w:hAnsi="Times New Roman"/>
          <w:sz w:val="26"/>
          <w:szCs w:val="26"/>
        </w:rPr>
        <w:t xml:space="preserve">32/DSCI – Quyết định thay đổi, rút (một phần, toàn bộ) yêu cầu khởi kiện: tệp </w:t>
      </w:r>
      <w:r>
        <w:rPr>
          <w:rFonts w:ascii="Times New Roman" w:cs="Times New Roman" w:eastAsia="Times New Roman" w:hAnsi="Times New Roman"/>
          <w:i/>
          <w:iCs/>
          <w:sz w:val="26"/>
          <w:szCs w:val="26"/>
        </w:rPr>
        <w:t xml:space="preserve">Mau_32_TTLT09_QD_thay_doi_rut_yeu_cau_khoi_kien.docx</w:t>
      </w:r>
    </w:p>
    <w:p>
      <w:pPr>
        <w:pStyle w:val="Heading1"/>
        <w:spacing w:after="120" w:before="280"/>
      </w:pPr>
      <w:r>
        <w:rPr>
          <w:rFonts w:ascii="Times New Roman" w:cs="Times New Roman" w:eastAsia="Times New Roman" w:hAnsi="Times New Roman"/>
          <w:b/>
          <w:bCs/>
          <w:sz w:val="28"/>
          <w:szCs w:val="28"/>
        </w:rPr>
        <w:t xml:space="preserve">IV. NHỮNG ĐIỂM CẦN LƯU Ý</w:t>
      </w:r>
    </w:p>
    <w:p>
      <w:pPr>
        <w:pStyle w:val="ListParagraph"/>
        <w:numPr>
          <w:ilvl w:val="0"/>
          <w:numId w:val="2"/>
        </w:numPr>
        <w:spacing w:after="40" w:line="290"/>
        <w:jc w:val="left"/>
      </w:pPr>
      <w:r>
        <w:rPr>
          <w:rFonts w:ascii="Times New Roman" w:cs="Times New Roman" w:eastAsia="Times New Roman" w:hAnsi="Times New Roman"/>
          <w:sz w:val="26"/>
          <w:szCs w:val="26"/>
        </w:rPr>
        <w:t xml:space="preserve">Hai mốc tính 30 ngày thụ lý khác nhau (TTLT 09 tính từ ngày tiếp nhận, HD 42 tính từ ngày ghi sổ): nên áp dụng mốc sớm hơn.</w:t>
      </w:r>
    </w:p>
    <w:p>
      <w:pPr>
        <w:pStyle w:val="ListParagraph"/>
        <w:numPr>
          <w:ilvl w:val="0"/>
          <w:numId w:val="2"/>
        </w:numPr>
        <w:spacing w:after="40" w:line="290"/>
        <w:jc w:val="left"/>
      </w:pPr>
      <w:r>
        <w:rPr>
          <w:rFonts w:ascii="Times New Roman" w:cs="Times New Roman" w:eastAsia="Times New Roman" w:hAnsi="Times New Roman"/>
          <w:sz w:val="26"/>
          <w:szCs w:val="26"/>
        </w:rPr>
        <w:t xml:space="preserve">Nhóm dễ bị tổn thương mà người bị xâm phạm không trả lời thông báo thì VKS phải kiến nghị tiếp cơ quan quản lý (khoản 2 Điều 19 TTLT 09), thêm một vòng 30 ngày.</w:t>
      </w:r>
    </w:p>
    <w:p>
      <w:pPr>
        <w:pStyle w:val="ListParagraph"/>
        <w:numPr>
          <w:ilvl w:val="0"/>
          <w:numId w:val="2"/>
        </w:numPr>
        <w:spacing w:after="40" w:line="290"/>
        <w:jc w:val="left"/>
      </w:pPr>
      <w:r>
        <w:rPr>
          <w:rFonts w:ascii="Times New Roman" w:cs="Times New Roman" w:eastAsia="Times New Roman" w:hAnsi="Times New Roman"/>
          <w:sz w:val="26"/>
          <w:szCs w:val="26"/>
        </w:rPr>
        <w:t xml:space="preserve">NQ 205, TTLT 09 và HD 42 không quy định thời hiệu riêng; cần tính thời hiệu khởi kiện theo BLDS ngay từ Bước 2.</w:t>
      </w:r>
    </w:p>
    <w:p>
      <w:pPr>
        <w:pStyle w:val="ListParagraph"/>
        <w:numPr>
          <w:ilvl w:val="0"/>
          <w:numId w:val="2"/>
        </w:numPr>
        <w:spacing w:after="40" w:line="290"/>
        <w:jc w:val="left"/>
      </w:pPr>
      <w:r>
        <w:rPr>
          <w:rFonts w:ascii="Times New Roman" w:cs="Times New Roman" w:eastAsia="Times New Roman" w:hAnsi="Times New Roman"/>
          <w:sz w:val="26"/>
          <w:szCs w:val="26"/>
        </w:rPr>
        <w:t xml:space="preserve">Chỉ đình chỉ vì “đã có người khởi kiện” khi Tòa án đã thụ lý đơn của họ; nếu họ rút đơn thì VKS thụ lý lại.</w:t>
      </w:r>
    </w:p>
    <w:p>
      <w:pPr>
        <w:pStyle w:val="ListParagraph"/>
        <w:numPr>
          <w:ilvl w:val="0"/>
          <w:numId w:val="2"/>
        </w:numPr>
        <w:spacing w:after="40" w:line="290"/>
        <w:jc w:val="left"/>
      </w:pPr>
      <w:r>
        <w:rPr>
          <w:rFonts w:ascii="Times New Roman" w:cs="Times New Roman" w:eastAsia="Times New Roman" w:hAnsi="Times New Roman"/>
          <w:sz w:val="26"/>
          <w:szCs w:val="26"/>
        </w:rPr>
        <w:t xml:space="preserve">Lưu trong hồ sơ tài liệu chứng minh người bị xâm phạm “không thể tự khởi kiện” (sức khỏe, nhận thức, kinh tế, ngôn ngữ).</w:t>
      </w:r>
    </w:p>
    <w:p>
      <w:pPr>
        <w:pStyle w:val="ListParagraph"/>
        <w:numPr>
          <w:ilvl w:val="0"/>
          <w:numId w:val="2"/>
        </w:numPr>
        <w:spacing w:after="40" w:line="290"/>
        <w:jc w:val="left"/>
      </w:pPr>
      <w:r>
        <w:rPr>
          <w:rFonts w:ascii="Times New Roman" w:cs="Times New Roman" w:eastAsia="Times New Roman" w:hAnsi="Times New Roman"/>
          <w:sz w:val="26"/>
          <w:szCs w:val="26"/>
        </w:rPr>
        <w:t xml:space="preserve">HD 42 đánh số hai sổ là 14 và 15 trùng số với Biên bản ghi lời khai (14/DSCI) và Biên bản đối chất (15/DSCI) của TTLT 09; khi viện dẫn cần ghi rõ nguồn.</w:t>
      </w:r>
    </w:p>
    <w:p>
      <w:pPr>
        <w:pStyle w:val="ListParagraph"/>
        <w:numPr>
          <w:ilvl w:val="0"/>
          <w:numId w:val="2"/>
        </w:numPr>
        <w:spacing w:after="40" w:line="290"/>
        <w:jc w:val="left"/>
      </w:pPr>
      <w:r>
        <w:rPr>
          <w:rFonts w:ascii="Times New Roman" w:cs="Times New Roman" w:eastAsia="Times New Roman" w:hAnsi="Times New Roman"/>
          <w:sz w:val="26"/>
          <w:szCs w:val="26"/>
        </w:rPr>
        <w:t xml:space="preserve">Mẫu biểu trong bộ này được soạn lại từ văn bản gốc để tiện sử dụng; trước khi ban hành chính thức cần đối chiếu với bản gốc TTLT 09 và HD 42.</w:t>
      </w:r>
    </w:p>
    <w:sectPr>
      <w:footerReference w:type="default" r:id="rId7"/>
      <w:pgSz w:w="11906" w:h="16838" w:orient="portrait"/>
      <w:pgMar w:top="1134" w:right="1134"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4"/>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6"/>
        <w:szCs w:val="2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Times New Roman" w:cs="Times New Roman" w:eastAsia="Times New Roman" w:hAnsi="Times New Roman"/>
      <w:b/>
      <w:bCs/>
      <w:color w:val="000000"/>
      <w:sz w:val="28"/>
      <w:szCs w:val="28"/>
    </w:rPr>
  </w:style>
  <w:style w:type="paragraph" w:styleId="Heading2">
    <w:name w:val="Heading 2"/>
    <w:basedOn w:val="Normal"/>
    <w:next w:val="Normal"/>
    <w:qFormat/>
    <w:pPr>
      <w:outlineLvl w:val="1"/>
    </w:pPr>
    <w:rPr>
      <w:rFonts w:ascii="Times New Roman" w:cs="Times New Roman" w:eastAsia="Times New Roman" w:hAnsi="Times New Roman"/>
      <w:b/>
      <w:bCs/>
      <w:color w:val="000000"/>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Quy trình giải quyết vụ án dân sự công ích</dc:title>
  <dc:creator>VKSND khu vực</dc:creator>
  <cp:lastModifiedBy>Un-named</cp:lastModifiedBy>
  <cp:revision>1</cp:revision>
  <dcterms:created xsi:type="dcterms:W3CDTF">2026-09-30T10:04:28.455Z</dcterms:created>
  <dcterms:modified xsi:type="dcterms:W3CDTF">2026-09-30T10:04:28.455Z</dcterms:modified>
</cp:coreProperties>
</file>

<file path=docProps/custom.xml><?xml version="1.0" encoding="utf-8"?>
<Properties xmlns="http://schemas.openxmlformats.org/officeDocument/2006/custom-properties" xmlns:vt="http://schemas.openxmlformats.org/officeDocument/2006/docPropsVTypes"/>
</file>